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96DC" w14:textId="417C660E" w:rsidR="0015439F" w:rsidRDefault="00FD53A4" w:rsidP="0015439F">
      <w:pPr>
        <w:jc w:val="center"/>
        <w:rPr>
          <w:color w:val="004A98"/>
        </w:rPr>
      </w:pPr>
      <w:r>
        <w:rPr>
          <w:noProof/>
        </w:rPr>
        <w:drawing>
          <wp:inline distT="0" distB="0" distL="0" distR="0" wp14:anchorId="0E994D4E" wp14:editId="0D75D7A9">
            <wp:extent cx="1543050" cy="833017"/>
            <wp:effectExtent l="0" t="0" r="0" b="0"/>
            <wp:docPr id="1172497353" name="Picture 1"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97353" name="Picture 1" descr="DEQ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833017"/>
                    </a:xfrm>
                    <a:prstGeom prst="rect">
                      <a:avLst/>
                    </a:prstGeom>
                  </pic:spPr>
                </pic:pic>
              </a:graphicData>
            </a:graphic>
          </wp:inline>
        </w:drawing>
      </w:r>
    </w:p>
    <w:p w14:paraId="43DBC661" w14:textId="129B3787" w:rsidR="00A52A22" w:rsidRDefault="00EE32F9" w:rsidP="00A52A22">
      <w:pPr>
        <w:jc w:val="center"/>
        <w:rPr>
          <w:rFonts w:ascii="Calibri" w:eastAsiaTheme="majorEastAsia" w:hAnsi="Calibri" w:cstheme="majorBidi"/>
          <w:b/>
          <w:caps/>
          <w:color w:val="004A98"/>
          <w:sz w:val="36"/>
          <w:szCs w:val="32"/>
        </w:rPr>
      </w:pPr>
      <w:r>
        <w:rPr>
          <w:rFonts w:ascii="Calibri" w:eastAsiaTheme="majorEastAsia" w:hAnsi="Calibri" w:cstheme="majorBidi"/>
          <w:b/>
          <w:caps/>
          <w:color w:val="004A98"/>
          <w:sz w:val="36"/>
          <w:szCs w:val="32"/>
        </w:rPr>
        <w:t>Chemical Monitoring Waivers</w:t>
      </w:r>
    </w:p>
    <w:p w14:paraId="4BC538AA" w14:textId="7483B92E" w:rsidR="00262CFE" w:rsidRDefault="00394D84" w:rsidP="00394D84">
      <w:pPr>
        <w:jc w:val="center"/>
      </w:pPr>
      <w:r>
        <w:rPr>
          <w:color w:val="004A98"/>
        </w:rPr>
        <w:t>Fact Sheet SWP-</w:t>
      </w:r>
      <w:r w:rsidR="00EE32F9">
        <w:rPr>
          <w:color w:val="004A98"/>
        </w:rPr>
        <w:t>204</w:t>
      </w:r>
    </w:p>
    <w:p w14:paraId="1D6AF247" w14:textId="19BE69E1" w:rsidR="00FD53A4" w:rsidRDefault="00A246ED" w:rsidP="00FD53A4">
      <w:pPr>
        <w:rPr>
          <w:color w:val="004A98"/>
        </w:rPr>
      </w:pPr>
      <w:r>
        <w:rPr>
          <w:noProof/>
        </w:rPr>
        <mc:AlternateContent>
          <mc:Choice Requires="wpg">
            <w:drawing>
              <wp:anchor distT="0" distB="0" distL="114300" distR="114300" simplePos="0" relativeHeight="251659776" behindDoc="0" locked="0" layoutInCell="1" allowOverlap="1" wp14:anchorId="298022C5" wp14:editId="2C67213A">
                <wp:simplePos x="0" y="0"/>
                <wp:positionH relativeFrom="margin">
                  <wp:align>center</wp:align>
                </wp:positionH>
                <wp:positionV relativeFrom="paragraph">
                  <wp:posOffset>149860</wp:posOffset>
                </wp:positionV>
                <wp:extent cx="8086725" cy="266700"/>
                <wp:effectExtent l="0" t="38100" r="47625" b="0"/>
                <wp:wrapNone/>
                <wp:docPr id="1233426964"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86725" cy="266700"/>
                          <a:chOff x="0" y="0"/>
                          <a:chExt cx="8086725" cy="266700"/>
                        </a:xfrm>
                      </wpg:grpSpPr>
                      <wps:wsp>
                        <wps:cNvPr id="1404864824" name="Straight Connector 8"/>
                        <wps:cNvCnPr/>
                        <wps:spPr>
                          <a:xfrm>
                            <a:off x="0" y="0"/>
                            <a:ext cx="8086725" cy="0"/>
                          </a:xfrm>
                          <a:prstGeom prst="line">
                            <a:avLst/>
                          </a:prstGeom>
                          <a:ln w="76200">
                            <a:solidFill>
                              <a:srgbClr val="009ADE"/>
                            </a:solidFill>
                          </a:ln>
                        </wps:spPr>
                        <wps:style>
                          <a:lnRef idx="1">
                            <a:schemeClr val="accent1"/>
                          </a:lnRef>
                          <a:fillRef idx="0">
                            <a:schemeClr val="accent1"/>
                          </a:fillRef>
                          <a:effectRef idx="0">
                            <a:schemeClr val="accent1"/>
                          </a:effectRef>
                          <a:fontRef idx="minor">
                            <a:schemeClr val="tx1"/>
                          </a:fontRef>
                        </wps:style>
                        <wps:bodyPr/>
                      </wps:wsp>
                      <wps:wsp>
                        <wps:cNvPr id="1324867136" name="Isosceles Triangle 9"/>
                        <wps:cNvSpPr/>
                        <wps:spPr>
                          <a:xfrm rot="10800000">
                            <a:off x="3857625" y="38100"/>
                            <a:ext cx="428625" cy="228600"/>
                          </a:xfrm>
                          <a:prstGeom prst="triangle">
                            <a:avLst/>
                          </a:prstGeom>
                          <a:solidFill>
                            <a:srgbClr val="009A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418504" id="Group 10" o:spid="_x0000_s1026" alt="&quot;&quot;" style="position:absolute;margin-left:0;margin-top:11.8pt;width:636.75pt;height:21pt;z-index:251659776;mso-position-horizontal:center;mso-position-horizontal-relative:margin" coordsize="80867,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64ZgMAAEYJAAAOAAAAZHJzL2Uyb0RvYy54bWy8VllvGyEQfq/U/4B4b/awY29WWUeWcyhS&#10;lER1qjwTlj0kFijgrNNf34E94uZqmqr1wxqYGWb4+GaGw6Ntw9E906aWIsPRXogRE1TmtSgz/O3m&#10;9EuCkbFE5IRLwTL8wAw+Wnz+dNiqlMWykjxnGsEmwqStynBlrUqDwNCKNcTsScUECAupG2Jhqssg&#10;16SF3RsexGE4C1qpc6UlZcbA6nEnxAu/f1Ewaq+KwjCLeIYhNuu/2n/v3DdYHJK01ERVNe3DIB+I&#10;oiG1AKfjVsfEErTR9bOtmppqaWRh96hsAlkUNWX+DHCaKHxymjMtN8qfpUzbUo0wAbRPcPrwtvTy&#10;/kyrtbrWgESrSsDCz9xZtoVu3D9EibYesocRMra1iMJiEiazebyPEQVZPJvNwx5TWgHwz8xodfK2&#10;YTC4DX4JplVAD/OIgPk7BNYVUcwDa1JA4FqjOgf2TsNpMpsm8RQjQRpg69pqUpeVRSspBHBJapQ4&#10;yrhwwG4lethMagDBD2Hm4RpPTVKljT1jskFukGFeCxcoScn9hbHgGlQHFbfMBWozPJ9BLng1I3md&#10;n9acO6HR5d2Ka3RPHPvDg+XxiYsetthRgxkXsOjO1J3Cj+wDZ52Dr6wAeOCuo86DS002bksoZcJG&#10;/b5cgLYzKyCE0bAP7S3DXt+ZMp+2f2I8WnjPUtjRuKmF1C+FbbdDyEWnPyDQndtBcCfzB3+/Hhpg&#10;X3fv/56GkxhoOI8ms4GG50Yayjgz6EbXRJScoYMdGo7ZO1xgl0NISyBQFCah+3kQ+kyeJPvAGEha&#10;yNlJEg0pO+T0NE681Kc0jDv56xy1fVDexSs83SHcO3nZ0ZKkQjo6d7R9J1Hjl258IKrjiKlIzrq0&#10;iPYdOH1WDAz1OfIyl9+RBP+by3xMv99wuWMEtEGj6GkN9eWCGHtNNHQ8WIQubq/gU3AJJUX2I4wq&#10;qX+8tO70oQyDFKMWOmiGzfcN0Qwjfi6gQB9E06lruX4y3Z/HMNG7krtdidg0KwllKvLR+aHTt3wY&#10;Flo2t9Dsl84riIig4DvD1OphsrJdZ4fnAmXLpVeDNquIvRBrRYcK5urnzfaWaNUXWQvMv5RDU3hW&#10;aztdxxshlxsri9oX4sca0dcOXyJ834Jm7SnUPyzca2B37vUfnz+LnwAAAP//AwBQSwMEFAAGAAgA&#10;AAAhAIjqWiHeAAAABwEAAA8AAABkcnMvZG93bnJldi54bWxMj09rg0AUxO+FfoflFXpr1j9oi3EN&#10;IbQ9hUKTQsntRV9U4r4Vd6Pm23dzao7DDDO/yVez7sRIg20NKwgXAQji0lQt1wp+9h8vbyCsQ66w&#10;M0wKrmRhVTw+5JhVZuJvGneuFr6EbYYKGuf6TEpbNqTRLkxP7L2TGTQ6L4daVgNOvlx3MgqCVGps&#10;2S802NOmofK8u2gFnxNO6zh8H7fn0+Z62Cdfv9uQlHp+mtdLEI5m9x+GG75Hh8IzHc2FKys6Bf6I&#10;UxDFKYibG73GCYijgjRJQRa5vOcv/gAAAP//AwBQSwECLQAUAAYACAAAACEAtoM4kv4AAADhAQAA&#10;EwAAAAAAAAAAAAAAAAAAAAAAW0NvbnRlbnRfVHlwZXNdLnhtbFBLAQItABQABgAIAAAAIQA4/SH/&#10;1gAAAJQBAAALAAAAAAAAAAAAAAAAAC8BAABfcmVscy8ucmVsc1BLAQItABQABgAIAAAAIQD1Eb64&#10;ZgMAAEYJAAAOAAAAAAAAAAAAAAAAAC4CAABkcnMvZTJvRG9jLnhtbFBLAQItABQABgAIAAAAIQCI&#10;6loh3gAAAAcBAAAPAAAAAAAAAAAAAAAAAMAFAABkcnMvZG93bnJldi54bWxQSwUGAAAAAAQABADz&#10;AAAAywYAAAAA&#10;">
                <v:line id="Straight Connector 8" o:spid="_x0000_s1027" style="position:absolute;visibility:visible;mso-wrap-style:square" from="0,0" to="8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ZVxwAAAOMAAAAPAAAAZHJzL2Rvd25yZXYueG1sRE/NasJA&#10;EL4XfIdlBG91Uwkhpq4SRKWn2qp4HrLTJDQ7G7KrSfP0XaHQ43z/s9oMphF36lxtWcHLPAJBXFhd&#10;c6ngct4/pyCcR9bYWCYFP+Rgs548rTDTtudPup98KUIIuwwVVN63mZSuqMigm9uWOHBftjPow9mV&#10;UnfYh3DTyEUUJdJgzaGhwpa2FRXfp5tRwGOy+1ie7XA9jpj3h7of35e5UrPpkL+C8DT4f/Gf+02H&#10;+XEUp0mcLmJ4/BQAkOtfAAAA//8DAFBLAQItABQABgAIAAAAIQDb4fbL7gAAAIUBAAATAAAAAAAA&#10;AAAAAAAAAAAAAABbQ29udGVudF9UeXBlc10ueG1sUEsBAi0AFAAGAAgAAAAhAFr0LFu/AAAAFQEA&#10;AAsAAAAAAAAAAAAAAAAAHwEAAF9yZWxzLy5yZWxzUEsBAi0AFAAGAAgAAAAhAFyxNlXHAAAA4wAA&#10;AA8AAAAAAAAAAAAAAAAABwIAAGRycy9kb3ducmV2LnhtbFBLBQYAAAAAAwADALcAAAD7AgAAAAA=&#10;" strokecolor="#009ade" strokeweight="6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8" type="#_x0000_t5" style="position:absolute;left:38576;top:381;width:4286;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EXzAAAAOMAAAAPAAAAZHJzL2Rvd25yZXYueG1sRI9ba8JA&#10;EIXfC/6HZQp9KbqJlijRVXpBLPggXkAfh+w0G8zOhuxW47/vFgQfZ86Z852ZLTpbiwu1vnKsIB0k&#10;IIgLpysuFRz2y/4EhA/IGmvHpOBGHhbz3tMMc+2uvKXLLpQihrDPUYEJocml9IUhi37gGuKo/bjW&#10;YohjW0rd4jWG21oOkySTFiuOBIMNfRoqzrtfGyGuW43D6/q4p9XRp9XpY735Mkq9PHfvUxCBuvAw&#10;36+/daw/Gr5NsnE6yuD/p7gAOf8DAAD//wMAUEsBAi0AFAAGAAgAAAAhANvh9svuAAAAhQEAABMA&#10;AAAAAAAAAAAAAAAAAAAAAFtDb250ZW50X1R5cGVzXS54bWxQSwECLQAUAAYACAAAACEAWvQsW78A&#10;AAAVAQAACwAAAAAAAAAAAAAAAAAfAQAAX3JlbHMvLnJlbHNQSwECLQAUAAYACAAAACEAy/OBF8wA&#10;AADjAAAADwAAAAAAAAAAAAAAAAAHAgAAZHJzL2Rvd25yZXYueG1sUEsFBgAAAAADAAMAtwAAAAAD&#10;AAAAAA==&#10;" fillcolor="#009ade" stroked="f" strokeweight="1pt"/>
                <w10:wrap anchorx="margin"/>
              </v:group>
            </w:pict>
          </mc:Fallback>
        </mc:AlternateContent>
      </w:r>
    </w:p>
    <w:p w14:paraId="2ADD6097" w14:textId="2FF0C30C" w:rsidR="00FD53A4" w:rsidRDefault="00FD53A4" w:rsidP="00FD53A4">
      <w:pPr>
        <w:rPr>
          <w:color w:val="004A98"/>
        </w:rPr>
      </w:pPr>
    </w:p>
    <w:p w14:paraId="6B674B19" w14:textId="77777777" w:rsidR="00CB4DB7" w:rsidRDefault="00CB4DB7" w:rsidP="00441F2F">
      <w:pPr>
        <w:rPr>
          <w:color w:val="004A98"/>
        </w:rPr>
      </w:pPr>
    </w:p>
    <w:p w14:paraId="3067256E" w14:textId="77777777" w:rsidR="00EE32F9" w:rsidRPr="00EE32F9" w:rsidRDefault="00EE32F9" w:rsidP="00EE32F9">
      <w:pPr>
        <w:rPr>
          <w:color w:val="004A98"/>
        </w:rPr>
      </w:pPr>
      <w:r w:rsidRPr="00EE32F9">
        <w:rPr>
          <w:color w:val="004A98"/>
        </w:rPr>
        <w:t>Chemical monitoring waivers reduce sample frequency in a compliance period or compliance cycle. Information to support the waiver must be provided by the PWS for consideration. A waiver must be given in writing by MDEQ and will specify which chemical(s) are included in the waiver, the time during which the waiver is in effect, and the sampling required for renewing the waiver. Monitoring requirements are complex based on quarterly, semi-annual, annual, and tri-annual requirements within 3-year compliance periods and 9-year compliance cycles.</w:t>
      </w:r>
    </w:p>
    <w:p w14:paraId="2F1BB167" w14:textId="77777777" w:rsidR="00782811" w:rsidRDefault="00782811" w:rsidP="002B66A8">
      <w:pPr>
        <w:rPr>
          <w:rStyle w:val="Hyperlink"/>
          <w:color w:val="004A98"/>
          <w:u w:val="none"/>
        </w:rPr>
      </w:pPr>
    </w:p>
    <w:p w14:paraId="7D66E622" w14:textId="77777777" w:rsidR="00EE32F9" w:rsidRPr="00EE32F9" w:rsidRDefault="00EE32F9" w:rsidP="00EE32F9">
      <w:pPr>
        <w:rPr>
          <w:rFonts w:ascii="Calibri" w:eastAsiaTheme="majorEastAsia" w:hAnsi="Calibri" w:cstheme="majorBidi"/>
          <w:b/>
          <w:bCs/>
          <w:iCs/>
          <w:smallCaps/>
          <w:sz w:val="32"/>
          <w:szCs w:val="26"/>
        </w:rPr>
      </w:pPr>
      <w:r w:rsidRPr="00EE32F9">
        <w:rPr>
          <w:rFonts w:ascii="Calibri" w:eastAsiaTheme="majorEastAsia" w:hAnsi="Calibri" w:cstheme="majorBidi"/>
          <w:b/>
          <w:bCs/>
          <w:iCs/>
          <w:smallCaps/>
          <w:sz w:val="32"/>
          <w:szCs w:val="26"/>
        </w:rPr>
        <w:t>Public Water System Monitoring Waivers</w:t>
      </w:r>
    </w:p>
    <w:p w14:paraId="2DF83E5D" w14:textId="77777777" w:rsidR="00EE32F9" w:rsidRPr="00EE32F9" w:rsidRDefault="00EE32F9" w:rsidP="00EE32F9">
      <w:pPr>
        <w:rPr>
          <w:b/>
          <w:bCs/>
          <w:iCs/>
          <w:color w:val="004A98"/>
        </w:rPr>
      </w:pPr>
      <w:r w:rsidRPr="00EE32F9">
        <w:rPr>
          <w:iCs/>
          <w:color w:val="004A98"/>
        </w:rPr>
        <w:t>Monitoring requirements are complex based on quarterly, semi-annual, annual, and tri-annual requirements within 3-year compliance periods and 9-year compliance cycles.</w:t>
      </w:r>
      <w:r w:rsidRPr="00EE32F9">
        <w:rPr>
          <w:b/>
          <w:bCs/>
          <w:iCs/>
          <w:color w:val="004A98"/>
        </w:rPr>
        <w:t xml:space="preserve">  </w:t>
      </w:r>
      <w:r w:rsidRPr="00EE32F9">
        <w:rPr>
          <w:iCs/>
          <w:color w:val="004A98"/>
        </w:rPr>
        <w:t>Information to support a use or susceptibility waiver request must be provided by the PWS for consideration.  A waiver will be given in writing by MDEQ and will specify which chemical(s) are included in the waiver, the time during which the waiver is in effect, and the sampling required for renewing the waiver</w:t>
      </w:r>
      <w:r w:rsidRPr="00EE32F9">
        <w:rPr>
          <w:b/>
          <w:bCs/>
          <w:iCs/>
          <w:color w:val="004A98"/>
        </w:rPr>
        <w:t xml:space="preserve"> </w:t>
      </w:r>
    </w:p>
    <w:p w14:paraId="252972D1" w14:textId="77777777" w:rsidR="00101FBE" w:rsidRDefault="00101FBE" w:rsidP="002B66A8">
      <w:pPr>
        <w:rPr>
          <w:rStyle w:val="Hyperlink"/>
          <w:color w:val="004A98"/>
          <w:u w:val="none"/>
        </w:rPr>
      </w:pPr>
    </w:p>
    <w:p w14:paraId="1DEC3760" w14:textId="77777777" w:rsidR="00EE32F9" w:rsidRPr="00EE32F9" w:rsidRDefault="00EE32F9" w:rsidP="00EE32F9">
      <w:pPr>
        <w:rPr>
          <w:rFonts w:ascii="Calibri" w:eastAsiaTheme="majorEastAsia" w:hAnsi="Calibri" w:cstheme="majorBidi"/>
          <w:b/>
          <w:bCs/>
          <w:color w:val="004A98"/>
          <w:sz w:val="28"/>
          <w:szCs w:val="24"/>
        </w:rPr>
      </w:pPr>
      <w:r w:rsidRPr="00EE32F9">
        <w:rPr>
          <w:rFonts w:ascii="Calibri" w:eastAsiaTheme="majorEastAsia" w:hAnsi="Calibri" w:cstheme="majorBidi"/>
          <w:b/>
          <w:bCs/>
          <w:color w:val="004A98"/>
          <w:sz w:val="28"/>
          <w:szCs w:val="24"/>
        </w:rPr>
        <w:t>I. Statewide Waivers</w:t>
      </w:r>
    </w:p>
    <w:p w14:paraId="51CF20D4" w14:textId="0491D612" w:rsidR="00EE32F9" w:rsidRPr="00EE32F9" w:rsidRDefault="00EE32F9" w:rsidP="00EE32F9">
      <w:pPr>
        <w:rPr>
          <w:color w:val="004A98"/>
        </w:rPr>
      </w:pPr>
      <w:r w:rsidRPr="00EE32F9">
        <w:rPr>
          <w:color w:val="004A98"/>
        </w:rPr>
        <w:t>Under the statewide waivers, public water supplies are not required to sample for:</w:t>
      </w:r>
    </w:p>
    <w:p w14:paraId="122B4228" w14:textId="77777777" w:rsidR="00EE32F9" w:rsidRPr="00EE32F9" w:rsidRDefault="00EE32F9" w:rsidP="00EE32F9">
      <w:pPr>
        <w:pStyle w:val="ListParagraph"/>
        <w:numPr>
          <w:ilvl w:val="0"/>
          <w:numId w:val="20"/>
        </w:numPr>
        <w:rPr>
          <w:color w:val="004A98"/>
        </w:rPr>
      </w:pPr>
      <w:r w:rsidRPr="00EE32F9">
        <w:rPr>
          <w:color w:val="004A98"/>
        </w:rPr>
        <w:t>Endothall</w:t>
      </w:r>
    </w:p>
    <w:p w14:paraId="2095A38B" w14:textId="77777777" w:rsidR="00EE32F9" w:rsidRPr="00EE32F9" w:rsidRDefault="00EE32F9" w:rsidP="00EE32F9">
      <w:pPr>
        <w:pStyle w:val="ListParagraph"/>
        <w:numPr>
          <w:ilvl w:val="0"/>
          <w:numId w:val="20"/>
        </w:numPr>
        <w:rPr>
          <w:color w:val="004A98"/>
        </w:rPr>
      </w:pPr>
      <w:r w:rsidRPr="00EE32F9">
        <w:rPr>
          <w:color w:val="004A98"/>
        </w:rPr>
        <w:t>Diquat</w:t>
      </w:r>
    </w:p>
    <w:p w14:paraId="27AFC904" w14:textId="77777777" w:rsidR="00EE32F9" w:rsidRPr="00EE32F9" w:rsidRDefault="00EE32F9" w:rsidP="00EE32F9">
      <w:pPr>
        <w:pStyle w:val="ListParagraph"/>
        <w:numPr>
          <w:ilvl w:val="0"/>
          <w:numId w:val="20"/>
        </w:numPr>
        <w:rPr>
          <w:color w:val="004A98"/>
        </w:rPr>
      </w:pPr>
      <w:r w:rsidRPr="00EE32F9">
        <w:rPr>
          <w:color w:val="004A98"/>
        </w:rPr>
        <w:t>Glyphosate</w:t>
      </w:r>
    </w:p>
    <w:p w14:paraId="1DBF56CD" w14:textId="77777777" w:rsidR="00EE32F9" w:rsidRPr="00EE32F9" w:rsidRDefault="00EE32F9" w:rsidP="00EE32F9">
      <w:pPr>
        <w:pStyle w:val="ListParagraph"/>
        <w:numPr>
          <w:ilvl w:val="0"/>
          <w:numId w:val="20"/>
        </w:numPr>
        <w:rPr>
          <w:color w:val="004A98"/>
        </w:rPr>
      </w:pPr>
      <w:r w:rsidRPr="00EE32F9">
        <w:rPr>
          <w:color w:val="004A98"/>
        </w:rPr>
        <w:t xml:space="preserve">Dioxin </w:t>
      </w:r>
    </w:p>
    <w:p w14:paraId="5071C0BA" w14:textId="77777777" w:rsidR="00EE32F9" w:rsidRPr="00EE32F9" w:rsidRDefault="00EE32F9" w:rsidP="00EE32F9">
      <w:pPr>
        <w:pStyle w:val="ListParagraph"/>
        <w:numPr>
          <w:ilvl w:val="0"/>
          <w:numId w:val="20"/>
        </w:numPr>
        <w:rPr>
          <w:color w:val="004A98"/>
        </w:rPr>
      </w:pPr>
      <w:r w:rsidRPr="00EE32F9">
        <w:rPr>
          <w:color w:val="004A98"/>
        </w:rPr>
        <w:t xml:space="preserve">Ethylene dibromide </w:t>
      </w:r>
    </w:p>
    <w:p w14:paraId="36FB79A3" w14:textId="77777777" w:rsidR="00EE32F9" w:rsidRPr="00EE32F9" w:rsidRDefault="00EE32F9" w:rsidP="00EE32F9">
      <w:pPr>
        <w:pStyle w:val="ListParagraph"/>
        <w:numPr>
          <w:ilvl w:val="0"/>
          <w:numId w:val="20"/>
        </w:numPr>
        <w:rPr>
          <w:color w:val="004A98"/>
        </w:rPr>
      </w:pPr>
      <w:proofErr w:type="spellStart"/>
      <w:r w:rsidRPr="00EE32F9">
        <w:rPr>
          <w:color w:val="004A98"/>
        </w:rPr>
        <w:t>Dibromochloropropane</w:t>
      </w:r>
      <w:proofErr w:type="spellEnd"/>
    </w:p>
    <w:p w14:paraId="6876226D" w14:textId="77777777" w:rsidR="00EE32F9" w:rsidRPr="00EE32F9" w:rsidRDefault="00EE32F9" w:rsidP="00EE32F9">
      <w:pPr>
        <w:pStyle w:val="ListParagraph"/>
        <w:numPr>
          <w:ilvl w:val="0"/>
          <w:numId w:val="20"/>
        </w:numPr>
        <w:rPr>
          <w:color w:val="004A98"/>
        </w:rPr>
      </w:pPr>
      <w:r w:rsidRPr="00EE32F9">
        <w:rPr>
          <w:color w:val="004A98"/>
        </w:rPr>
        <w:t>Asbestos at the source</w:t>
      </w:r>
    </w:p>
    <w:p w14:paraId="77B4DE64" w14:textId="7EFE3286" w:rsidR="004B06EB" w:rsidRPr="00EE32F9" w:rsidRDefault="00EE32F9" w:rsidP="00EE32F9">
      <w:pPr>
        <w:pStyle w:val="ListParagraph"/>
        <w:numPr>
          <w:ilvl w:val="0"/>
          <w:numId w:val="20"/>
        </w:numPr>
        <w:rPr>
          <w:color w:val="004A98"/>
        </w:rPr>
      </w:pPr>
      <w:r w:rsidRPr="00EE32F9">
        <w:rPr>
          <w:color w:val="004A98"/>
        </w:rPr>
        <w:t>Cyanide</w:t>
      </w:r>
      <w:r w:rsidRPr="00EE32F9">
        <w:rPr>
          <w:rFonts w:ascii="Calibri" w:hAnsi="Calibri" w:cs="Calibri"/>
          <w:noProof/>
          <w:color w:val="004A98"/>
          <w:sz w:val="28"/>
          <w:szCs w:val="28"/>
        </w:rPr>
        <w:t xml:space="preserve"> </w:t>
      </w:r>
    </w:p>
    <w:p w14:paraId="24AFFA79" w14:textId="7FFE17EC" w:rsidR="00EE32F9" w:rsidRDefault="00EE32F9" w:rsidP="00EE32F9">
      <w:pPr>
        <w:rPr>
          <w:color w:val="004A98"/>
        </w:rPr>
      </w:pPr>
      <w:r w:rsidRPr="00EE32F9">
        <w:rPr>
          <w:color w:val="004A98"/>
        </w:rPr>
        <w:t>Additionally, small water systems (3,300 or less) may be waived from initial quarterly monitoring requirements for the organic chemicals (includes VOCs, PCBs, SOCs) by completing one round of organic chemical sampling without detects.  This statewide waiver applies only to initial baseline requirements.  Repeat sampling during subsequent compliance periods will be required except where “use” or “susceptibility” waivers have been granted.</w:t>
      </w:r>
    </w:p>
    <w:p w14:paraId="678766E2" w14:textId="77777777" w:rsidR="00EE32F9" w:rsidRDefault="00EE32F9" w:rsidP="00EE32F9">
      <w:pPr>
        <w:rPr>
          <w:color w:val="004A98"/>
        </w:rPr>
      </w:pPr>
    </w:p>
    <w:p w14:paraId="3E655827" w14:textId="77777777" w:rsidR="00EE32F9" w:rsidRPr="00EE32F9" w:rsidRDefault="00EE32F9" w:rsidP="00EE32F9">
      <w:pPr>
        <w:rPr>
          <w:rFonts w:ascii="Calibri" w:eastAsiaTheme="majorEastAsia" w:hAnsi="Calibri" w:cstheme="majorBidi"/>
          <w:b/>
          <w:bCs/>
          <w:color w:val="004A98"/>
          <w:sz w:val="28"/>
          <w:szCs w:val="24"/>
        </w:rPr>
      </w:pPr>
      <w:r w:rsidRPr="00EE32F9">
        <w:rPr>
          <w:rFonts w:ascii="Calibri" w:eastAsiaTheme="majorEastAsia" w:hAnsi="Calibri" w:cstheme="majorBidi"/>
          <w:b/>
          <w:bCs/>
          <w:color w:val="004A98"/>
          <w:sz w:val="28"/>
          <w:szCs w:val="24"/>
        </w:rPr>
        <w:t>II. PWS Monitoring Waivers</w:t>
      </w:r>
    </w:p>
    <w:p w14:paraId="1D052D34" w14:textId="7F07E7A2" w:rsidR="00EE32F9" w:rsidRDefault="00EE32F9" w:rsidP="00EE32F9">
      <w:pPr>
        <w:rPr>
          <w:color w:val="004A98"/>
        </w:rPr>
      </w:pPr>
      <w:r w:rsidRPr="00EE32F9">
        <w:rPr>
          <w:color w:val="004A98"/>
        </w:rPr>
        <w:t xml:space="preserve">Waivers can be requested in conjunction with the completion of the source water delineation and assessment report for a PWS. Typically, the PWS operator will need to provide additional, site-specific chemical use information for parcels within the inventory region to process a waiver request.  Waiver requests must be in writing. </w:t>
      </w:r>
    </w:p>
    <w:p w14:paraId="51E6C588" w14:textId="77777777" w:rsidR="00EE32F9" w:rsidRDefault="00EE32F9" w:rsidP="00EE32F9">
      <w:pPr>
        <w:rPr>
          <w:b/>
          <w:bCs/>
          <w:color w:val="004A98"/>
        </w:rPr>
      </w:pPr>
    </w:p>
    <w:p w14:paraId="7992E7D4" w14:textId="45B1D28A" w:rsidR="00EE32F9" w:rsidRPr="00EE32F9" w:rsidRDefault="00EE32F9" w:rsidP="00EE32F9">
      <w:pPr>
        <w:rPr>
          <w:b/>
          <w:bCs/>
          <w:color w:val="004A98"/>
        </w:rPr>
      </w:pPr>
      <w:bookmarkStart w:id="0" w:name="_Hlk216077942"/>
      <w:r w:rsidRPr="00EE32F9">
        <w:rPr>
          <w:b/>
          <w:bCs/>
          <w:color w:val="004A98"/>
        </w:rPr>
        <w:t>Inorganic Chemical Waivers</w:t>
      </w:r>
    </w:p>
    <w:p w14:paraId="13D4A907" w14:textId="77777777" w:rsidR="00EE32F9" w:rsidRPr="00EE32F9" w:rsidRDefault="00EE32F9" w:rsidP="00EE32F9">
      <w:pPr>
        <w:rPr>
          <w:color w:val="004A98"/>
        </w:rPr>
      </w:pPr>
      <w:r w:rsidRPr="00EE32F9">
        <w:rPr>
          <w:color w:val="004A98"/>
        </w:rPr>
        <w:t>Inorganic chemical (IOC) waivers are available</w:t>
      </w:r>
      <w:bookmarkEnd w:id="0"/>
      <w:r w:rsidRPr="00EE32F9">
        <w:rPr>
          <w:color w:val="004A98"/>
        </w:rPr>
        <w:t>.  The IOCs eligible for waiver consideration are not typically related to human activities hence they are usually either present or not in source water over the long term.  DEQ will consider requests based on monitoring history, treatment and water quality.  IOC waivers are not available for arsenic, nitrate/nitrite, lead/copper, or radiological monitoring.</w:t>
      </w:r>
    </w:p>
    <w:p w14:paraId="60653281" w14:textId="77777777" w:rsidR="00EE32F9" w:rsidRPr="00EE32F9" w:rsidRDefault="00EE32F9" w:rsidP="00EE32F9">
      <w:pPr>
        <w:rPr>
          <w:color w:val="004A98"/>
        </w:rPr>
      </w:pPr>
      <w:r w:rsidRPr="00EE32F9">
        <w:rPr>
          <w:color w:val="004A98"/>
        </w:rPr>
        <w:t>Criteria for granting a waiver are:</w:t>
      </w:r>
    </w:p>
    <w:p w14:paraId="254F6B36" w14:textId="77777777" w:rsidR="00EE32F9" w:rsidRPr="00EE32F9" w:rsidRDefault="00EE32F9" w:rsidP="00EE32F9">
      <w:pPr>
        <w:numPr>
          <w:ilvl w:val="0"/>
          <w:numId w:val="21"/>
        </w:numPr>
        <w:rPr>
          <w:color w:val="004A98"/>
        </w:rPr>
      </w:pPr>
      <w:r w:rsidRPr="00EE32F9">
        <w:rPr>
          <w:color w:val="004A98"/>
        </w:rPr>
        <w:t>Having at least three sampling events between 1993 and 2002.</w:t>
      </w:r>
    </w:p>
    <w:p w14:paraId="72D0C31E" w14:textId="77777777" w:rsidR="00EE32F9" w:rsidRPr="00EE32F9" w:rsidRDefault="00EE32F9" w:rsidP="00EE32F9">
      <w:pPr>
        <w:numPr>
          <w:ilvl w:val="0"/>
          <w:numId w:val="21"/>
        </w:numPr>
        <w:rPr>
          <w:color w:val="004A98"/>
        </w:rPr>
      </w:pPr>
      <w:r w:rsidRPr="00EE32F9">
        <w:rPr>
          <w:color w:val="004A98"/>
        </w:rPr>
        <w:t>At least one sampling event must be after 01/01/2002 (in the new compliance cycle).</w:t>
      </w:r>
    </w:p>
    <w:p w14:paraId="4DDA4132" w14:textId="77777777" w:rsidR="00EE32F9" w:rsidRDefault="00EE32F9" w:rsidP="00EE32F9">
      <w:pPr>
        <w:numPr>
          <w:ilvl w:val="0"/>
          <w:numId w:val="21"/>
        </w:numPr>
        <w:rPr>
          <w:color w:val="004A98"/>
        </w:rPr>
      </w:pPr>
      <w:r w:rsidRPr="00EE32F9">
        <w:rPr>
          <w:color w:val="004A98"/>
        </w:rPr>
        <w:lastRenderedPageBreak/>
        <w:t>All results must be consistently and reliably below the Maximum Contaminant Level (MCL).</w:t>
      </w:r>
    </w:p>
    <w:p w14:paraId="0526F60F" w14:textId="77777777" w:rsidR="00EE32F9" w:rsidRPr="00EE32F9" w:rsidRDefault="00EE32F9" w:rsidP="00EE32F9">
      <w:pPr>
        <w:ind w:left="720"/>
        <w:rPr>
          <w:color w:val="004A98"/>
        </w:rPr>
      </w:pPr>
    </w:p>
    <w:p w14:paraId="53713626" w14:textId="77777777" w:rsidR="00EE32F9" w:rsidRPr="00EE32F9" w:rsidRDefault="00EE32F9" w:rsidP="00EE32F9">
      <w:pPr>
        <w:rPr>
          <w:b/>
          <w:bCs/>
          <w:color w:val="004A98"/>
        </w:rPr>
      </w:pPr>
      <w:r w:rsidRPr="00EE32F9">
        <w:rPr>
          <w:b/>
          <w:bCs/>
          <w:color w:val="004A98"/>
        </w:rPr>
        <w:t>Organic Chemical Waivers (VOC/SOC)</w:t>
      </w:r>
    </w:p>
    <w:p w14:paraId="680D9BEB" w14:textId="77777777" w:rsidR="00EE32F9" w:rsidRPr="00EE32F9" w:rsidRDefault="00EE32F9" w:rsidP="00EE32F9">
      <w:pPr>
        <w:rPr>
          <w:color w:val="004A98"/>
        </w:rPr>
      </w:pPr>
      <w:r w:rsidRPr="00EE32F9">
        <w:rPr>
          <w:color w:val="004A98"/>
        </w:rPr>
        <w:t xml:space="preserve">Organic chemical monitoring waivers reduce sample frequency in a compliance period or compliance cycle. Monitoring waivers are based either on chemical use in an area or the susceptibility of the source water to contamination.  </w:t>
      </w:r>
    </w:p>
    <w:p w14:paraId="068E3362" w14:textId="77777777" w:rsidR="00EE32F9" w:rsidRDefault="00EE32F9" w:rsidP="00EE32F9">
      <w:pPr>
        <w:numPr>
          <w:ilvl w:val="0"/>
          <w:numId w:val="23"/>
        </w:numPr>
        <w:rPr>
          <w:color w:val="004A98"/>
          <w:u w:val="single"/>
        </w:rPr>
      </w:pPr>
      <w:r w:rsidRPr="00EE32F9">
        <w:rPr>
          <w:color w:val="004A98"/>
          <w:u w:val="single"/>
        </w:rPr>
        <w:t>Use Waiver</w:t>
      </w:r>
    </w:p>
    <w:p w14:paraId="05451A38" w14:textId="51CED355" w:rsidR="00EE32F9" w:rsidRPr="00EE32F9" w:rsidRDefault="00EE32F9" w:rsidP="00EE32F9">
      <w:pPr>
        <w:numPr>
          <w:ilvl w:val="1"/>
          <w:numId w:val="23"/>
        </w:numPr>
        <w:rPr>
          <w:color w:val="004A98"/>
          <w:u w:val="single"/>
        </w:rPr>
      </w:pPr>
      <w:r w:rsidRPr="00EE32F9">
        <w:rPr>
          <w:color w:val="004A98"/>
        </w:rPr>
        <w:t xml:space="preserve">Use waivers may be available when it can be shown that specific organic chemicals have not or are not used, manufactured, or stored in a source water inventory region. </w:t>
      </w:r>
    </w:p>
    <w:p w14:paraId="7B5275CB" w14:textId="77777777" w:rsidR="00EE32F9" w:rsidRDefault="00EE32F9" w:rsidP="00EE32F9">
      <w:pPr>
        <w:numPr>
          <w:ilvl w:val="0"/>
          <w:numId w:val="23"/>
        </w:numPr>
        <w:rPr>
          <w:color w:val="004A98"/>
          <w:u w:val="single"/>
        </w:rPr>
      </w:pPr>
      <w:r w:rsidRPr="00EE32F9">
        <w:rPr>
          <w:color w:val="004A98"/>
          <w:u w:val="single"/>
        </w:rPr>
        <w:t>Susceptibility Waiver</w:t>
      </w:r>
    </w:p>
    <w:p w14:paraId="20121635" w14:textId="35CC57D6" w:rsidR="00EE32F9" w:rsidRPr="00EE32F9" w:rsidRDefault="00EE32F9" w:rsidP="00EE32F9">
      <w:pPr>
        <w:numPr>
          <w:ilvl w:val="1"/>
          <w:numId w:val="23"/>
        </w:numPr>
        <w:rPr>
          <w:color w:val="004A98"/>
          <w:u w:val="single"/>
        </w:rPr>
      </w:pPr>
      <w:r w:rsidRPr="00EE32F9">
        <w:rPr>
          <w:color w:val="004A98"/>
        </w:rPr>
        <w:t>Susceptibility waivers may be available when the source water is demonstrated to not be susceptible to contamination.  Susceptibility is based on factors including hazard and the presence of barriers.</w:t>
      </w:r>
    </w:p>
    <w:p w14:paraId="41003CDD" w14:textId="77777777" w:rsidR="00EE32F9" w:rsidRPr="00EE32F9" w:rsidRDefault="00EE32F9" w:rsidP="00EE32F9">
      <w:pPr>
        <w:rPr>
          <w:color w:val="004A98"/>
        </w:rPr>
      </w:pPr>
    </w:p>
    <w:p w14:paraId="4E92FB58" w14:textId="77777777" w:rsidR="00EE32F9" w:rsidRDefault="00EE32F9" w:rsidP="004B06EB">
      <w:pPr>
        <w:rPr>
          <w:rFonts w:ascii="Calibri" w:eastAsiaTheme="majorEastAsia" w:hAnsi="Calibri" w:cstheme="majorBidi"/>
          <w:b/>
          <w:color w:val="004A98"/>
          <w:sz w:val="28"/>
          <w:szCs w:val="24"/>
        </w:rPr>
      </w:pPr>
      <w:r w:rsidRPr="00EE32F9">
        <w:rPr>
          <w:rFonts w:ascii="Calibri" w:eastAsiaTheme="majorEastAsia" w:hAnsi="Calibri" w:cstheme="majorBidi"/>
          <w:b/>
          <w:color w:val="004A98"/>
          <w:sz w:val="28"/>
          <w:szCs w:val="24"/>
        </w:rPr>
        <w:t>III. PWS Application Procedures for Waiver</w:t>
      </w:r>
    </w:p>
    <w:p w14:paraId="56557A52" w14:textId="08F8EE07" w:rsidR="00A91D05" w:rsidRPr="00EE32F9" w:rsidRDefault="00EE32F9" w:rsidP="00A91D05">
      <w:pPr>
        <w:numPr>
          <w:ilvl w:val="0"/>
          <w:numId w:val="29"/>
        </w:numPr>
        <w:rPr>
          <w:color w:val="004A98"/>
        </w:rPr>
      </w:pPr>
      <w:r w:rsidRPr="00EE32F9">
        <w:rPr>
          <w:color w:val="004A98"/>
        </w:rPr>
        <w:t>Statewide waiver</w:t>
      </w:r>
    </w:p>
    <w:p w14:paraId="41351A65" w14:textId="06F6EB25" w:rsidR="00EE32F9" w:rsidRPr="00EE32F9" w:rsidRDefault="00EE32F9" w:rsidP="00A91D05">
      <w:pPr>
        <w:numPr>
          <w:ilvl w:val="1"/>
          <w:numId w:val="29"/>
        </w:numPr>
        <w:rPr>
          <w:color w:val="004A98"/>
        </w:rPr>
      </w:pPr>
      <w:r w:rsidRPr="00EE32F9">
        <w:rPr>
          <w:color w:val="004A98"/>
        </w:rPr>
        <w:t>No application is needed.</w:t>
      </w:r>
    </w:p>
    <w:p w14:paraId="2D425F2C" w14:textId="77777777" w:rsidR="00EE32F9" w:rsidRPr="00EE32F9" w:rsidRDefault="00EE32F9" w:rsidP="00EE32F9">
      <w:pPr>
        <w:numPr>
          <w:ilvl w:val="0"/>
          <w:numId w:val="29"/>
        </w:numPr>
        <w:rPr>
          <w:color w:val="004A98"/>
        </w:rPr>
      </w:pPr>
      <w:r w:rsidRPr="00EE32F9">
        <w:rPr>
          <w:color w:val="004A98"/>
        </w:rPr>
        <w:t>IOC Waiver</w:t>
      </w:r>
    </w:p>
    <w:p w14:paraId="6649E396" w14:textId="77777777" w:rsidR="00EE32F9" w:rsidRPr="00EE32F9" w:rsidRDefault="00EE32F9" w:rsidP="00A91D05">
      <w:pPr>
        <w:numPr>
          <w:ilvl w:val="1"/>
          <w:numId w:val="29"/>
        </w:numPr>
        <w:rPr>
          <w:color w:val="004A98"/>
        </w:rPr>
      </w:pPr>
      <w:r w:rsidRPr="00EE32F9">
        <w:rPr>
          <w:color w:val="004A98"/>
        </w:rPr>
        <w:t>Send letter of request to DEQ</w:t>
      </w:r>
    </w:p>
    <w:p w14:paraId="3BACF212" w14:textId="77777777" w:rsidR="00EE32F9" w:rsidRPr="00EE32F9" w:rsidRDefault="00EE32F9" w:rsidP="00A91D05">
      <w:pPr>
        <w:numPr>
          <w:ilvl w:val="1"/>
          <w:numId w:val="29"/>
        </w:numPr>
        <w:rPr>
          <w:color w:val="004A98"/>
        </w:rPr>
      </w:pPr>
      <w:r w:rsidRPr="00EE32F9">
        <w:rPr>
          <w:color w:val="004A98"/>
        </w:rPr>
        <w:t>Include most recent IOC monitoring results</w:t>
      </w:r>
    </w:p>
    <w:p w14:paraId="74CF6AB0" w14:textId="77777777" w:rsidR="00EE32F9" w:rsidRPr="00EE32F9" w:rsidRDefault="00EE32F9" w:rsidP="00EE32F9">
      <w:pPr>
        <w:numPr>
          <w:ilvl w:val="0"/>
          <w:numId w:val="29"/>
        </w:numPr>
        <w:rPr>
          <w:color w:val="004A98"/>
        </w:rPr>
      </w:pPr>
      <w:r w:rsidRPr="00EE32F9">
        <w:rPr>
          <w:color w:val="004A98"/>
        </w:rPr>
        <w:t>SOC Use Waiver</w:t>
      </w:r>
    </w:p>
    <w:p w14:paraId="543CCD16" w14:textId="77777777" w:rsidR="00EE32F9" w:rsidRPr="00EE32F9" w:rsidRDefault="00EE32F9" w:rsidP="00A91D05">
      <w:pPr>
        <w:numPr>
          <w:ilvl w:val="1"/>
          <w:numId w:val="29"/>
        </w:numPr>
        <w:rPr>
          <w:color w:val="004A98"/>
        </w:rPr>
      </w:pPr>
      <w:r w:rsidRPr="00EE32F9">
        <w:rPr>
          <w:color w:val="004A98"/>
        </w:rPr>
        <w:t>Send letter of request to DEQ include MDEQ Form #1</w:t>
      </w:r>
    </w:p>
    <w:p w14:paraId="3B94953E" w14:textId="77777777" w:rsidR="00EE32F9" w:rsidRPr="00EE32F9" w:rsidRDefault="00EE32F9" w:rsidP="00A91D05">
      <w:pPr>
        <w:numPr>
          <w:ilvl w:val="1"/>
          <w:numId w:val="29"/>
        </w:numPr>
        <w:rPr>
          <w:color w:val="004A98"/>
        </w:rPr>
      </w:pPr>
      <w:r w:rsidRPr="00EE32F9">
        <w:rPr>
          <w:color w:val="004A98"/>
        </w:rPr>
        <w:t>Include most recent SOC monitoring results</w:t>
      </w:r>
    </w:p>
    <w:p w14:paraId="4E2E339B" w14:textId="77777777" w:rsidR="00EE32F9" w:rsidRPr="00EE32F9" w:rsidRDefault="00EE32F9" w:rsidP="00A91D05">
      <w:pPr>
        <w:numPr>
          <w:ilvl w:val="1"/>
          <w:numId w:val="29"/>
        </w:numPr>
        <w:rPr>
          <w:color w:val="004A98"/>
        </w:rPr>
      </w:pPr>
      <w:r w:rsidRPr="00EE32F9">
        <w:rPr>
          <w:color w:val="004A98"/>
        </w:rPr>
        <w:t>Include map that extends 1 mile from each well; show land use and chemical use history by land parcel.  Use MDEQ Form #2</w:t>
      </w:r>
      <w:r w:rsidRPr="00EE32F9">
        <w:rPr>
          <w:b/>
          <w:bCs/>
          <w:color w:val="004A98"/>
        </w:rPr>
        <w:t>**</w:t>
      </w:r>
      <w:r w:rsidRPr="00EE32F9">
        <w:rPr>
          <w:color w:val="004A98"/>
        </w:rPr>
        <w:t>, or:</w:t>
      </w:r>
    </w:p>
    <w:p w14:paraId="5D7E911B" w14:textId="77777777" w:rsidR="00EE32F9" w:rsidRPr="00EE32F9" w:rsidRDefault="00EE32F9" w:rsidP="00A91D05">
      <w:pPr>
        <w:numPr>
          <w:ilvl w:val="1"/>
          <w:numId w:val="29"/>
        </w:numPr>
        <w:rPr>
          <w:color w:val="004A98"/>
        </w:rPr>
      </w:pPr>
      <w:r w:rsidRPr="00EE32F9">
        <w:rPr>
          <w:color w:val="004A98"/>
        </w:rPr>
        <w:t xml:space="preserve">Include annotated SWPA Inventory Region Map listing land use and chemical use history by land parcel.  Use MDEQ Form #2**. </w:t>
      </w:r>
    </w:p>
    <w:p w14:paraId="5B91A3CE" w14:textId="77777777" w:rsidR="00EE32F9" w:rsidRPr="00EE32F9" w:rsidRDefault="00EE32F9" w:rsidP="00EE32F9">
      <w:pPr>
        <w:numPr>
          <w:ilvl w:val="0"/>
          <w:numId w:val="29"/>
        </w:numPr>
        <w:rPr>
          <w:color w:val="004A98"/>
        </w:rPr>
      </w:pPr>
      <w:r w:rsidRPr="00EE32F9">
        <w:rPr>
          <w:color w:val="004A98"/>
        </w:rPr>
        <w:t>SOC Susceptibility Waiver</w:t>
      </w:r>
    </w:p>
    <w:p w14:paraId="7D45FE5C" w14:textId="77777777" w:rsidR="00EE32F9" w:rsidRPr="00EE32F9" w:rsidRDefault="00EE32F9" w:rsidP="00A91D05">
      <w:pPr>
        <w:numPr>
          <w:ilvl w:val="1"/>
          <w:numId w:val="29"/>
        </w:numPr>
        <w:rPr>
          <w:color w:val="004A98"/>
        </w:rPr>
      </w:pPr>
      <w:r w:rsidRPr="00EE32F9">
        <w:rPr>
          <w:color w:val="004A98"/>
        </w:rPr>
        <w:t>Send letter of request to DEQ include MDEQ Form #1</w:t>
      </w:r>
    </w:p>
    <w:p w14:paraId="013BF82D" w14:textId="77777777" w:rsidR="00EE32F9" w:rsidRPr="00EE32F9" w:rsidRDefault="00EE32F9" w:rsidP="00A91D05">
      <w:pPr>
        <w:numPr>
          <w:ilvl w:val="1"/>
          <w:numId w:val="29"/>
        </w:numPr>
        <w:rPr>
          <w:color w:val="004A98"/>
        </w:rPr>
      </w:pPr>
      <w:r w:rsidRPr="00EE32F9">
        <w:rPr>
          <w:color w:val="004A98"/>
        </w:rPr>
        <w:t>Include most recent SOC monitoring results</w:t>
      </w:r>
    </w:p>
    <w:p w14:paraId="74AC876C" w14:textId="77777777" w:rsidR="00EE32F9" w:rsidRPr="00EE32F9" w:rsidRDefault="00EE32F9" w:rsidP="00A91D05">
      <w:pPr>
        <w:numPr>
          <w:ilvl w:val="1"/>
          <w:numId w:val="29"/>
        </w:numPr>
        <w:rPr>
          <w:color w:val="004A98"/>
        </w:rPr>
      </w:pPr>
      <w:r w:rsidRPr="00EE32F9">
        <w:rPr>
          <w:color w:val="004A98"/>
        </w:rPr>
        <w:t xml:space="preserve">Include completed MDEQ Form #4, </w:t>
      </w:r>
      <w:proofErr w:type="gramStart"/>
      <w:r w:rsidRPr="00EE32F9">
        <w:rPr>
          <w:color w:val="004A98"/>
        </w:rPr>
        <w:t>or;</w:t>
      </w:r>
      <w:proofErr w:type="gramEnd"/>
    </w:p>
    <w:p w14:paraId="75F252E9" w14:textId="4E4F7798" w:rsidR="00EE32F9" w:rsidRPr="00EE32F9" w:rsidRDefault="00EE32F9" w:rsidP="00A91D05">
      <w:pPr>
        <w:numPr>
          <w:ilvl w:val="1"/>
          <w:numId w:val="29"/>
        </w:numPr>
        <w:rPr>
          <w:color w:val="004A98"/>
        </w:rPr>
      </w:pPr>
      <w:r w:rsidRPr="00EE32F9">
        <w:rPr>
          <w:color w:val="004A98"/>
        </w:rPr>
        <w:t xml:space="preserve">Include delineation, inventory, and susceptibility sections from SWDAR. Artesian conditions must be documented under all pumping regimes </w:t>
      </w:r>
      <w:proofErr w:type="gramStart"/>
      <w:r w:rsidRPr="00EE32F9">
        <w:rPr>
          <w:color w:val="004A98"/>
        </w:rPr>
        <w:t>in order to</w:t>
      </w:r>
      <w:proofErr w:type="gramEnd"/>
      <w:r w:rsidRPr="00EE32F9">
        <w:rPr>
          <w:color w:val="004A98"/>
        </w:rPr>
        <w:t xml:space="preserve"> achieve a susceptibility waiver.</w:t>
      </w:r>
    </w:p>
    <w:p w14:paraId="7A446D78" w14:textId="5220D26B" w:rsidR="00EE32F9" w:rsidRPr="00EE32F9" w:rsidRDefault="00EE32F9" w:rsidP="00EE32F9">
      <w:pPr>
        <w:pStyle w:val="ListParagraph"/>
        <w:numPr>
          <w:ilvl w:val="0"/>
          <w:numId w:val="29"/>
        </w:numPr>
        <w:rPr>
          <w:color w:val="004A98"/>
        </w:rPr>
      </w:pPr>
      <w:r w:rsidRPr="00EE32F9">
        <w:rPr>
          <w:color w:val="004A98"/>
        </w:rPr>
        <w:t>VOC Use Waiver</w:t>
      </w:r>
    </w:p>
    <w:p w14:paraId="2E289DA4" w14:textId="77777777" w:rsidR="00EE32F9" w:rsidRPr="00EE32F9" w:rsidRDefault="00EE32F9" w:rsidP="00A91D05">
      <w:pPr>
        <w:numPr>
          <w:ilvl w:val="1"/>
          <w:numId w:val="29"/>
        </w:numPr>
        <w:rPr>
          <w:color w:val="004A98"/>
        </w:rPr>
      </w:pPr>
      <w:r w:rsidRPr="00EE32F9">
        <w:rPr>
          <w:color w:val="004A98"/>
        </w:rPr>
        <w:t>Send letter of request to DEQ include MDEQ Form #1</w:t>
      </w:r>
    </w:p>
    <w:p w14:paraId="67345898" w14:textId="77777777" w:rsidR="00EE32F9" w:rsidRPr="00EE32F9" w:rsidRDefault="00EE32F9" w:rsidP="00A91D05">
      <w:pPr>
        <w:numPr>
          <w:ilvl w:val="1"/>
          <w:numId w:val="29"/>
        </w:numPr>
        <w:rPr>
          <w:color w:val="004A98"/>
        </w:rPr>
      </w:pPr>
      <w:r w:rsidRPr="00EE32F9">
        <w:rPr>
          <w:color w:val="004A98"/>
        </w:rPr>
        <w:t>Include VOC monitoring results</w:t>
      </w:r>
    </w:p>
    <w:p w14:paraId="5E37AC03" w14:textId="77777777" w:rsidR="00EE32F9" w:rsidRPr="00EE32F9" w:rsidRDefault="00EE32F9" w:rsidP="00A91D05">
      <w:pPr>
        <w:numPr>
          <w:ilvl w:val="1"/>
          <w:numId w:val="29"/>
        </w:numPr>
        <w:rPr>
          <w:color w:val="004A98"/>
        </w:rPr>
      </w:pPr>
      <w:r w:rsidRPr="00EE32F9">
        <w:rPr>
          <w:color w:val="004A98"/>
        </w:rPr>
        <w:t>Include map that extends 1 mile from each well listing land use and chemical use history by land parcel.  Use MDEQ Form #2**, or:</w:t>
      </w:r>
    </w:p>
    <w:p w14:paraId="18CEE568" w14:textId="77777777" w:rsidR="00EE32F9" w:rsidRPr="00EE32F9" w:rsidRDefault="00EE32F9" w:rsidP="00A91D05">
      <w:pPr>
        <w:numPr>
          <w:ilvl w:val="1"/>
          <w:numId w:val="29"/>
        </w:numPr>
        <w:rPr>
          <w:color w:val="004A98"/>
        </w:rPr>
      </w:pPr>
      <w:r w:rsidRPr="00EE32F9">
        <w:rPr>
          <w:color w:val="004A98"/>
        </w:rPr>
        <w:t>Include annotated SWPA Inventory Region Map listing land use and chemical use history by land parcel.  Use MDEQ Form #2**.  Completion of MDEQ Form #3 is optional</w:t>
      </w:r>
    </w:p>
    <w:p w14:paraId="544372FD" w14:textId="77777777" w:rsidR="00EE32F9" w:rsidRPr="00EE32F9" w:rsidRDefault="00EE32F9" w:rsidP="00EE32F9">
      <w:pPr>
        <w:numPr>
          <w:ilvl w:val="0"/>
          <w:numId w:val="29"/>
        </w:numPr>
        <w:rPr>
          <w:color w:val="004A98"/>
        </w:rPr>
      </w:pPr>
      <w:r w:rsidRPr="00EE32F9">
        <w:rPr>
          <w:color w:val="004A98"/>
        </w:rPr>
        <w:t>For VOC Susceptibility Waiver</w:t>
      </w:r>
    </w:p>
    <w:p w14:paraId="3A9F3432" w14:textId="77777777" w:rsidR="00EE32F9" w:rsidRPr="00EE32F9" w:rsidRDefault="00EE32F9" w:rsidP="00A91D05">
      <w:pPr>
        <w:numPr>
          <w:ilvl w:val="1"/>
          <w:numId w:val="29"/>
        </w:numPr>
        <w:rPr>
          <w:color w:val="004A98"/>
        </w:rPr>
      </w:pPr>
      <w:r w:rsidRPr="00EE32F9">
        <w:rPr>
          <w:color w:val="004A98"/>
        </w:rPr>
        <w:t>Send letter of request to DEQ include MDEQ Form #1</w:t>
      </w:r>
    </w:p>
    <w:p w14:paraId="08A2254E" w14:textId="77777777" w:rsidR="00EE32F9" w:rsidRPr="00EE32F9" w:rsidRDefault="00EE32F9" w:rsidP="00A91D05">
      <w:pPr>
        <w:numPr>
          <w:ilvl w:val="1"/>
          <w:numId w:val="29"/>
        </w:numPr>
        <w:rPr>
          <w:color w:val="004A98"/>
        </w:rPr>
      </w:pPr>
      <w:r w:rsidRPr="00EE32F9">
        <w:rPr>
          <w:color w:val="004A98"/>
        </w:rPr>
        <w:t>Include SOC monitoring results</w:t>
      </w:r>
    </w:p>
    <w:p w14:paraId="4F7DCB38" w14:textId="77777777" w:rsidR="00EE32F9" w:rsidRPr="00EE32F9" w:rsidRDefault="00EE32F9" w:rsidP="00A91D05">
      <w:pPr>
        <w:numPr>
          <w:ilvl w:val="1"/>
          <w:numId w:val="29"/>
        </w:numPr>
        <w:rPr>
          <w:color w:val="004A98"/>
        </w:rPr>
      </w:pPr>
      <w:r w:rsidRPr="00EE32F9">
        <w:rPr>
          <w:color w:val="004A98"/>
        </w:rPr>
        <w:t xml:space="preserve">Include completed MDEQ Form #4, </w:t>
      </w:r>
      <w:proofErr w:type="gramStart"/>
      <w:r w:rsidRPr="00EE32F9">
        <w:rPr>
          <w:color w:val="004A98"/>
        </w:rPr>
        <w:t>or;</w:t>
      </w:r>
      <w:proofErr w:type="gramEnd"/>
    </w:p>
    <w:p w14:paraId="27EA11CA" w14:textId="77777777" w:rsidR="00EE32F9" w:rsidRPr="00EE32F9" w:rsidRDefault="00EE32F9" w:rsidP="00A91D05">
      <w:pPr>
        <w:numPr>
          <w:ilvl w:val="1"/>
          <w:numId w:val="29"/>
        </w:numPr>
        <w:rPr>
          <w:color w:val="004A98"/>
        </w:rPr>
      </w:pPr>
      <w:r w:rsidRPr="00EE32F9">
        <w:rPr>
          <w:color w:val="004A98"/>
        </w:rPr>
        <w:t xml:space="preserve">Include delineation, inventory, and susceptibility sections from SWDAR. Artesian conditions must be documented under all pumping regimes </w:t>
      </w:r>
      <w:proofErr w:type="gramStart"/>
      <w:r w:rsidRPr="00EE32F9">
        <w:rPr>
          <w:color w:val="004A98"/>
        </w:rPr>
        <w:t>in order to</w:t>
      </w:r>
      <w:proofErr w:type="gramEnd"/>
      <w:r w:rsidRPr="00EE32F9">
        <w:rPr>
          <w:color w:val="004A98"/>
        </w:rPr>
        <w:t xml:space="preserve"> achieve a susceptibility waiver.</w:t>
      </w:r>
    </w:p>
    <w:p w14:paraId="59B9422E" w14:textId="77777777" w:rsidR="00EE32F9" w:rsidRPr="00EE32F9" w:rsidRDefault="00EE32F9" w:rsidP="00EE32F9">
      <w:pPr>
        <w:ind w:left="1440"/>
        <w:rPr>
          <w:color w:val="004A98"/>
        </w:rPr>
      </w:pPr>
    </w:p>
    <w:p w14:paraId="332CC9B6" w14:textId="77777777" w:rsidR="00EE32F9" w:rsidRPr="00EE32F9" w:rsidRDefault="00EE32F9" w:rsidP="00A91D05">
      <w:pPr>
        <w:rPr>
          <w:color w:val="004A98"/>
        </w:rPr>
      </w:pPr>
      <w:r w:rsidRPr="00EE32F9">
        <w:rPr>
          <w:color w:val="004A98"/>
        </w:rPr>
        <w:t xml:space="preserve">The written request and supporting documentation should be forwarded to Greg Butts, PWS Section, Montana Department of Environmental Quality. </w:t>
      </w:r>
    </w:p>
    <w:p w14:paraId="58430D47" w14:textId="77777777" w:rsidR="00EE32F9" w:rsidRPr="00EE32F9" w:rsidRDefault="00EE32F9" w:rsidP="00EE32F9">
      <w:pPr>
        <w:ind w:left="1440"/>
        <w:rPr>
          <w:color w:val="004A98"/>
        </w:rPr>
      </w:pPr>
    </w:p>
    <w:p w14:paraId="1F61458C" w14:textId="77777777" w:rsidR="00EE32F9" w:rsidRPr="00EE32F9" w:rsidRDefault="00EE32F9" w:rsidP="00EE32F9">
      <w:pPr>
        <w:ind w:left="1440"/>
        <w:rPr>
          <w:color w:val="004A98"/>
        </w:rPr>
      </w:pPr>
    </w:p>
    <w:p w14:paraId="2F5E7926" w14:textId="645A9991" w:rsidR="00EE32F9" w:rsidRPr="00EE32F9" w:rsidRDefault="00EE32F9" w:rsidP="00A91D05">
      <w:pPr>
        <w:ind w:left="1440"/>
        <w:rPr>
          <w:color w:val="004A98"/>
        </w:rPr>
      </w:pPr>
      <w:r w:rsidRPr="00EE32F9">
        <w:rPr>
          <w:color w:val="004A98"/>
        </w:rPr>
        <w:t xml:space="preserve">** An inventory form (MDEQ Form #2) should be completed for each parcel and should include a map locator number, which cross references to the map, brief land use description, and list of chemicals used or in-use.  This site-specific information comes from parcel owners who should be contacted by the PWS operator and asked to provide a list of herbicides, pesticides, solvents, or fuels and approximate quantity currently in use or stored on their property. </w:t>
      </w:r>
    </w:p>
    <w:sectPr w:rsidR="00EE32F9" w:rsidRPr="00EE32F9" w:rsidSect="00EE53C6">
      <w:footerReference w:type="default" r:id="rId12"/>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3BDC" w14:textId="77777777" w:rsidR="00D55B6B" w:rsidRDefault="00D55B6B" w:rsidP="00EE3DD5">
      <w:r>
        <w:separator/>
      </w:r>
    </w:p>
  </w:endnote>
  <w:endnote w:type="continuationSeparator" w:id="0">
    <w:p w14:paraId="05765B12" w14:textId="77777777" w:rsidR="00D55B6B" w:rsidRDefault="00D55B6B" w:rsidP="00EE3DD5">
      <w:r>
        <w:continuationSeparator/>
      </w:r>
    </w:p>
  </w:endnote>
  <w:endnote w:type="continuationNotice" w:id="1">
    <w:p w14:paraId="4764BD74" w14:textId="77777777" w:rsidR="00D55B6B" w:rsidRDefault="00D5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1643" w14:textId="50CA3566" w:rsidR="00101FBE" w:rsidRDefault="00101FBE" w:rsidP="00101FBE">
    <w:pPr>
      <w:pStyle w:val="Footer"/>
      <w:jc w:val="center"/>
    </w:pPr>
    <w:r>
      <w:rPr>
        <w:noProof/>
        <w:color w:val="004A98"/>
      </w:rPr>
      <w:drawing>
        <wp:inline distT="0" distB="0" distL="0" distR="0" wp14:anchorId="786F5D99" wp14:editId="6366A4BA">
          <wp:extent cx="3341914" cy="812890"/>
          <wp:effectExtent l="0" t="0" r="0" b="0"/>
          <wp:docPr id="2015624052" name="Picture 1" descr="Horizontal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24052" name="Picture 1" descr="Horizontal DEQ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1914" cy="812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6E8B" w14:textId="77777777" w:rsidR="00D55B6B" w:rsidRDefault="00D55B6B" w:rsidP="00EE3DD5">
      <w:r>
        <w:separator/>
      </w:r>
    </w:p>
  </w:footnote>
  <w:footnote w:type="continuationSeparator" w:id="0">
    <w:p w14:paraId="0A7E3C64" w14:textId="77777777" w:rsidR="00D55B6B" w:rsidRDefault="00D55B6B" w:rsidP="00EE3DD5">
      <w:r>
        <w:continuationSeparator/>
      </w:r>
    </w:p>
  </w:footnote>
  <w:footnote w:type="continuationNotice" w:id="1">
    <w:p w14:paraId="4221F094" w14:textId="77777777" w:rsidR="00D55B6B" w:rsidRDefault="00D5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723"/>
    <w:multiLevelType w:val="hybridMultilevel"/>
    <w:tmpl w:val="B5DAE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A5066"/>
    <w:multiLevelType w:val="hybridMultilevel"/>
    <w:tmpl w:val="5650A58C"/>
    <w:lvl w:ilvl="0" w:tplc="FDC4034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BD5303"/>
    <w:multiLevelType w:val="hybridMultilevel"/>
    <w:tmpl w:val="E4D4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B32FD"/>
    <w:multiLevelType w:val="hybridMultilevel"/>
    <w:tmpl w:val="9606D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86916DC"/>
    <w:multiLevelType w:val="hybridMultilevel"/>
    <w:tmpl w:val="85AE0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13E1E"/>
    <w:multiLevelType w:val="hybridMultilevel"/>
    <w:tmpl w:val="B4FA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33155"/>
    <w:multiLevelType w:val="hybridMultilevel"/>
    <w:tmpl w:val="8EE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C488A"/>
    <w:multiLevelType w:val="hybridMultilevel"/>
    <w:tmpl w:val="4C6058FE"/>
    <w:lvl w:ilvl="0" w:tplc="9A9CCDB6">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37E331C"/>
    <w:multiLevelType w:val="hybridMultilevel"/>
    <w:tmpl w:val="D3A02924"/>
    <w:lvl w:ilvl="0" w:tplc="187217D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3C36BB8"/>
    <w:multiLevelType w:val="hybridMultilevel"/>
    <w:tmpl w:val="794C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E51799E"/>
    <w:multiLevelType w:val="hybridMultilevel"/>
    <w:tmpl w:val="E656FE14"/>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7C63815"/>
    <w:multiLevelType w:val="hybridMultilevel"/>
    <w:tmpl w:val="63288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EC733D"/>
    <w:multiLevelType w:val="hybridMultilevel"/>
    <w:tmpl w:val="7C5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62602"/>
    <w:multiLevelType w:val="hybridMultilevel"/>
    <w:tmpl w:val="9B9E94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3568E6"/>
    <w:multiLevelType w:val="hybridMultilevel"/>
    <w:tmpl w:val="FC50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187073"/>
    <w:multiLevelType w:val="hybridMultilevel"/>
    <w:tmpl w:val="A4003B2A"/>
    <w:lvl w:ilvl="0" w:tplc="19A29F66">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791176"/>
    <w:multiLevelType w:val="hybridMultilevel"/>
    <w:tmpl w:val="406A872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67F50"/>
    <w:multiLevelType w:val="hybridMultilevel"/>
    <w:tmpl w:val="CF602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16"/>
  </w:num>
  <w:num w:numId="2" w16cid:durableId="1212841264">
    <w:abstractNumId w:val="20"/>
  </w:num>
  <w:num w:numId="3" w16cid:durableId="1271858556">
    <w:abstractNumId w:val="11"/>
  </w:num>
  <w:num w:numId="4" w16cid:durableId="1977566321">
    <w:abstractNumId w:val="26"/>
  </w:num>
  <w:num w:numId="5" w16cid:durableId="1437018301">
    <w:abstractNumId w:val="9"/>
  </w:num>
  <w:num w:numId="6" w16cid:durableId="1996834029">
    <w:abstractNumId w:val="28"/>
  </w:num>
  <w:num w:numId="7" w16cid:durableId="660741885">
    <w:abstractNumId w:val="3"/>
  </w:num>
  <w:num w:numId="8" w16cid:durableId="1846894254">
    <w:abstractNumId w:val="2"/>
  </w:num>
  <w:num w:numId="9" w16cid:durableId="339701694">
    <w:abstractNumId w:val="1"/>
  </w:num>
  <w:num w:numId="10" w16cid:durableId="2032606395">
    <w:abstractNumId w:val="24"/>
  </w:num>
  <w:num w:numId="11" w16cid:durableId="2049721873">
    <w:abstractNumId w:val="15"/>
  </w:num>
  <w:num w:numId="12" w16cid:durableId="485054770">
    <w:abstractNumId w:val="7"/>
  </w:num>
  <w:num w:numId="13" w16cid:durableId="1406878337">
    <w:abstractNumId w:val="10"/>
  </w:num>
  <w:num w:numId="14" w16cid:durableId="753746290">
    <w:abstractNumId w:val="22"/>
  </w:num>
  <w:num w:numId="15" w16cid:durableId="979267164">
    <w:abstractNumId w:val="8"/>
  </w:num>
  <w:num w:numId="16" w16cid:durableId="1512989594">
    <w:abstractNumId w:val="19"/>
  </w:num>
  <w:num w:numId="17" w16cid:durableId="272565922">
    <w:abstractNumId w:val="0"/>
  </w:num>
  <w:num w:numId="18" w16cid:durableId="1474983331">
    <w:abstractNumId w:val="14"/>
  </w:num>
  <w:num w:numId="19" w16cid:durableId="486939515">
    <w:abstractNumId w:val="4"/>
  </w:num>
  <w:num w:numId="20" w16cid:durableId="1778910498">
    <w:abstractNumId w:val="5"/>
  </w:num>
  <w:num w:numId="21" w16cid:durableId="92286840">
    <w:abstractNumId w:val="18"/>
  </w:num>
  <w:num w:numId="22" w16cid:durableId="700712198">
    <w:abstractNumId w:val="13"/>
  </w:num>
  <w:num w:numId="23" w16cid:durableId="844127517">
    <w:abstractNumId w:val="27"/>
  </w:num>
  <w:num w:numId="24" w16cid:durableId="1002124698">
    <w:abstractNumId w:val="23"/>
  </w:num>
  <w:num w:numId="25" w16cid:durableId="607468676">
    <w:abstractNumId w:val="6"/>
  </w:num>
  <w:num w:numId="26" w16cid:durableId="282467280">
    <w:abstractNumId w:val="25"/>
  </w:num>
  <w:num w:numId="27" w16cid:durableId="1038166483">
    <w:abstractNumId w:val="17"/>
  </w:num>
  <w:num w:numId="28" w16cid:durableId="2051296518">
    <w:abstractNumId w:val="12"/>
  </w:num>
  <w:num w:numId="29" w16cid:durableId="17662687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20"/>
    <w:rsid w:val="00014979"/>
    <w:rsid w:val="00021C6E"/>
    <w:rsid w:val="00056740"/>
    <w:rsid w:val="00074C91"/>
    <w:rsid w:val="00077B46"/>
    <w:rsid w:val="0008770D"/>
    <w:rsid w:val="000A0480"/>
    <w:rsid w:val="000A4CE4"/>
    <w:rsid w:val="000B4A62"/>
    <w:rsid w:val="00101FBE"/>
    <w:rsid w:val="0010247D"/>
    <w:rsid w:val="00144A93"/>
    <w:rsid w:val="0015439F"/>
    <w:rsid w:val="00160CCA"/>
    <w:rsid w:val="0016254F"/>
    <w:rsid w:val="00164DA4"/>
    <w:rsid w:val="00165619"/>
    <w:rsid w:val="001746A3"/>
    <w:rsid w:val="00175A30"/>
    <w:rsid w:val="001966BC"/>
    <w:rsid w:val="001A3C65"/>
    <w:rsid w:val="001B5ACF"/>
    <w:rsid w:val="001E158F"/>
    <w:rsid w:val="001E624C"/>
    <w:rsid w:val="00223FE0"/>
    <w:rsid w:val="00233EB7"/>
    <w:rsid w:val="00234457"/>
    <w:rsid w:val="00240E59"/>
    <w:rsid w:val="00262CFE"/>
    <w:rsid w:val="00283A89"/>
    <w:rsid w:val="00293828"/>
    <w:rsid w:val="002A47E3"/>
    <w:rsid w:val="002B66A8"/>
    <w:rsid w:val="002C4EFC"/>
    <w:rsid w:val="002F6747"/>
    <w:rsid w:val="00300D5F"/>
    <w:rsid w:val="003337D0"/>
    <w:rsid w:val="00342F7B"/>
    <w:rsid w:val="00346D5A"/>
    <w:rsid w:val="003814C2"/>
    <w:rsid w:val="003920B2"/>
    <w:rsid w:val="00393737"/>
    <w:rsid w:val="00394D84"/>
    <w:rsid w:val="0039559D"/>
    <w:rsid w:val="0039642E"/>
    <w:rsid w:val="003C0470"/>
    <w:rsid w:val="003D0E9B"/>
    <w:rsid w:val="003F3757"/>
    <w:rsid w:val="00427253"/>
    <w:rsid w:val="00435970"/>
    <w:rsid w:val="00436264"/>
    <w:rsid w:val="00441F2F"/>
    <w:rsid w:val="004452E9"/>
    <w:rsid w:val="00453D71"/>
    <w:rsid w:val="00466657"/>
    <w:rsid w:val="00482D9A"/>
    <w:rsid w:val="004935E4"/>
    <w:rsid w:val="004A28CC"/>
    <w:rsid w:val="004B06EB"/>
    <w:rsid w:val="004C034C"/>
    <w:rsid w:val="004C1086"/>
    <w:rsid w:val="004C132D"/>
    <w:rsid w:val="004C290A"/>
    <w:rsid w:val="00514A1B"/>
    <w:rsid w:val="005666D0"/>
    <w:rsid w:val="00591BF9"/>
    <w:rsid w:val="00597C82"/>
    <w:rsid w:val="005A2BBC"/>
    <w:rsid w:val="005C4C84"/>
    <w:rsid w:val="005C6CC1"/>
    <w:rsid w:val="005E53EA"/>
    <w:rsid w:val="005E58F4"/>
    <w:rsid w:val="00610304"/>
    <w:rsid w:val="00611150"/>
    <w:rsid w:val="0061668D"/>
    <w:rsid w:val="00667B58"/>
    <w:rsid w:val="006B487A"/>
    <w:rsid w:val="006F1F70"/>
    <w:rsid w:val="00707526"/>
    <w:rsid w:val="007506A9"/>
    <w:rsid w:val="00756627"/>
    <w:rsid w:val="00757E1F"/>
    <w:rsid w:val="0076084D"/>
    <w:rsid w:val="00782811"/>
    <w:rsid w:val="00793897"/>
    <w:rsid w:val="007B1B96"/>
    <w:rsid w:val="007B1DC4"/>
    <w:rsid w:val="007E1A5A"/>
    <w:rsid w:val="00805725"/>
    <w:rsid w:val="00831E07"/>
    <w:rsid w:val="00843D09"/>
    <w:rsid w:val="00847BA7"/>
    <w:rsid w:val="00856461"/>
    <w:rsid w:val="008565AC"/>
    <w:rsid w:val="008644FF"/>
    <w:rsid w:val="00874764"/>
    <w:rsid w:val="008748DB"/>
    <w:rsid w:val="00881DAF"/>
    <w:rsid w:val="008965A9"/>
    <w:rsid w:val="008A3AFB"/>
    <w:rsid w:val="008B7200"/>
    <w:rsid w:val="008D545C"/>
    <w:rsid w:val="008E3381"/>
    <w:rsid w:val="008F6F5E"/>
    <w:rsid w:val="00930C6B"/>
    <w:rsid w:val="00955485"/>
    <w:rsid w:val="0095566F"/>
    <w:rsid w:val="00961D31"/>
    <w:rsid w:val="00990A89"/>
    <w:rsid w:val="009C1852"/>
    <w:rsid w:val="009C686B"/>
    <w:rsid w:val="009E595D"/>
    <w:rsid w:val="009E7234"/>
    <w:rsid w:val="00A246ED"/>
    <w:rsid w:val="00A31130"/>
    <w:rsid w:val="00A3286C"/>
    <w:rsid w:val="00A47BB8"/>
    <w:rsid w:val="00A52A22"/>
    <w:rsid w:val="00A91D05"/>
    <w:rsid w:val="00AA02E6"/>
    <w:rsid w:val="00AB0919"/>
    <w:rsid w:val="00AD693D"/>
    <w:rsid w:val="00AE3508"/>
    <w:rsid w:val="00AF2716"/>
    <w:rsid w:val="00B0771F"/>
    <w:rsid w:val="00B07C7A"/>
    <w:rsid w:val="00B11051"/>
    <w:rsid w:val="00B132B1"/>
    <w:rsid w:val="00B26EA0"/>
    <w:rsid w:val="00B3074A"/>
    <w:rsid w:val="00B446FC"/>
    <w:rsid w:val="00B84814"/>
    <w:rsid w:val="00BC5A96"/>
    <w:rsid w:val="00BE35D0"/>
    <w:rsid w:val="00BF1F5A"/>
    <w:rsid w:val="00BF6473"/>
    <w:rsid w:val="00C51DEA"/>
    <w:rsid w:val="00C72612"/>
    <w:rsid w:val="00C806E6"/>
    <w:rsid w:val="00CB4DB7"/>
    <w:rsid w:val="00CD7056"/>
    <w:rsid w:val="00CD7B11"/>
    <w:rsid w:val="00CE1153"/>
    <w:rsid w:val="00CF2625"/>
    <w:rsid w:val="00D360C5"/>
    <w:rsid w:val="00D5283F"/>
    <w:rsid w:val="00D54628"/>
    <w:rsid w:val="00D55B6B"/>
    <w:rsid w:val="00D63D20"/>
    <w:rsid w:val="00D7198A"/>
    <w:rsid w:val="00D8464A"/>
    <w:rsid w:val="00DD62FB"/>
    <w:rsid w:val="00E04DB4"/>
    <w:rsid w:val="00E56496"/>
    <w:rsid w:val="00E66E9F"/>
    <w:rsid w:val="00E7167D"/>
    <w:rsid w:val="00E76645"/>
    <w:rsid w:val="00E83CE5"/>
    <w:rsid w:val="00ED49C5"/>
    <w:rsid w:val="00EE32F9"/>
    <w:rsid w:val="00EE3DD5"/>
    <w:rsid w:val="00EE53C6"/>
    <w:rsid w:val="00F1376F"/>
    <w:rsid w:val="00F35A0D"/>
    <w:rsid w:val="00F60B3C"/>
    <w:rsid w:val="00F60F38"/>
    <w:rsid w:val="00F713F2"/>
    <w:rsid w:val="00F72F21"/>
    <w:rsid w:val="00F85F0A"/>
    <w:rsid w:val="00F95DB5"/>
    <w:rsid w:val="00FC40F7"/>
    <w:rsid w:val="00FD45C7"/>
    <w:rsid w:val="00FD51A8"/>
    <w:rsid w:val="00FD53A4"/>
    <w:rsid w:val="00FF29E2"/>
    <w:rsid w:val="28E6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BC4"/>
  <w15:chartTrackingRefBased/>
  <w15:docId w15:val="{8531A5D9-D3CC-405B-B492-6329DC3F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EE32F9"/>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iPriority w:val="99"/>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 w:type="character" w:customStyle="1" w:styleId="wacimagecontainer">
    <w:name w:val="wacimagecontainer"/>
    <w:basedOn w:val="DefaultParagraphFont"/>
    <w:rsid w:val="00B446FC"/>
  </w:style>
  <w:style w:type="character" w:customStyle="1" w:styleId="normaltextrun">
    <w:name w:val="normaltextrun"/>
    <w:basedOn w:val="DefaultParagraphFont"/>
    <w:rsid w:val="00293828"/>
  </w:style>
  <w:style w:type="character" w:customStyle="1" w:styleId="eop">
    <w:name w:val="eop"/>
    <w:basedOn w:val="DefaultParagraphFont"/>
    <w:rsid w:val="00293828"/>
  </w:style>
  <w:style w:type="paragraph" w:customStyle="1" w:styleId="paragraph">
    <w:name w:val="paragraph"/>
    <w:basedOn w:val="Normal"/>
    <w:rsid w:val="0029382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AA02E6"/>
    <w:rPr>
      <w:color w:val="666666"/>
    </w:rPr>
  </w:style>
  <w:style w:type="paragraph" w:styleId="Caption">
    <w:name w:val="caption"/>
    <w:basedOn w:val="Normal"/>
    <w:next w:val="Normal"/>
    <w:uiPriority w:val="35"/>
    <w:unhideWhenUsed/>
    <w:qFormat/>
    <w:rsid w:val="00782811"/>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466657"/>
    <w:rPr>
      <w:color w:val="954F72" w:themeColor="followedHyperlink"/>
      <w:u w:val="single"/>
    </w:rPr>
  </w:style>
  <w:style w:type="character" w:styleId="PageNumber">
    <w:name w:val="page number"/>
    <w:basedOn w:val="DefaultParagraphFont"/>
    <w:rsid w:val="004B0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49428">
      <w:bodyDiv w:val="1"/>
      <w:marLeft w:val="0"/>
      <w:marRight w:val="0"/>
      <w:marTop w:val="0"/>
      <w:marBottom w:val="0"/>
      <w:divBdr>
        <w:top w:val="none" w:sz="0" w:space="0" w:color="auto"/>
        <w:left w:val="none" w:sz="0" w:space="0" w:color="auto"/>
        <w:bottom w:val="none" w:sz="0" w:space="0" w:color="auto"/>
        <w:right w:val="none" w:sz="0" w:space="0" w:color="auto"/>
      </w:divBdr>
      <w:divsChild>
        <w:div w:id="37170787">
          <w:marLeft w:val="0"/>
          <w:marRight w:val="0"/>
          <w:marTop w:val="0"/>
          <w:marBottom w:val="0"/>
          <w:divBdr>
            <w:top w:val="none" w:sz="0" w:space="0" w:color="auto"/>
            <w:left w:val="none" w:sz="0" w:space="0" w:color="auto"/>
            <w:bottom w:val="none" w:sz="0" w:space="0" w:color="auto"/>
            <w:right w:val="none" w:sz="0" w:space="0" w:color="auto"/>
          </w:divBdr>
          <w:divsChild>
            <w:div w:id="225142387">
              <w:marLeft w:val="0"/>
              <w:marRight w:val="0"/>
              <w:marTop w:val="0"/>
              <w:marBottom w:val="0"/>
              <w:divBdr>
                <w:top w:val="none" w:sz="0" w:space="0" w:color="auto"/>
                <w:left w:val="none" w:sz="0" w:space="0" w:color="auto"/>
                <w:bottom w:val="none" w:sz="0" w:space="0" w:color="auto"/>
                <w:right w:val="none" w:sz="0" w:space="0" w:color="auto"/>
              </w:divBdr>
            </w:div>
          </w:divsChild>
        </w:div>
        <w:div w:id="443571647">
          <w:marLeft w:val="0"/>
          <w:marRight w:val="0"/>
          <w:marTop w:val="0"/>
          <w:marBottom w:val="0"/>
          <w:divBdr>
            <w:top w:val="none" w:sz="0" w:space="0" w:color="auto"/>
            <w:left w:val="none" w:sz="0" w:space="0" w:color="auto"/>
            <w:bottom w:val="none" w:sz="0" w:space="0" w:color="auto"/>
            <w:right w:val="none" w:sz="0" w:space="0" w:color="auto"/>
          </w:divBdr>
          <w:divsChild>
            <w:div w:id="626660454">
              <w:marLeft w:val="0"/>
              <w:marRight w:val="0"/>
              <w:marTop w:val="0"/>
              <w:marBottom w:val="0"/>
              <w:divBdr>
                <w:top w:val="none" w:sz="0" w:space="0" w:color="auto"/>
                <w:left w:val="none" w:sz="0" w:space="0" w:color="auto"/>
                <w:bottom w:val="none" w:sz="0" w:space="0" w:color="auto"/>
                <w:right w:val="none" w:sz="0" w:space="0" w:color="auto"/>
              </w:divBdr>
            </w:div>
          </w:divsChild>
        </w:div>
        <w:div w:id="592513784">
          <w:marLeft w:val="0"/>
          <w:marRight w:val="0"/>
          <w:marTop w:val="0"/>
          <w:marBottom w:val="0"/>
          <w:divBdr>
            <w:top w:val="none" w:sz="0" w:space="0" w:color="auto"/>
            <w:left w:val="none" w:sz="0" w:space="0" w:color="auto"/>
            <w:bottom w:val="none" w:sz="0" w:space="0" w:color="auto"/>
            <w:right w:val="none" w:sz="0" w:space="0" w:color="auto"/>
          </w:divBdr>
          <w:divsChild>
            <w:div w:id="2087801049">
              <w:marLeft w:val="0"/>
              <w:marRight w:val="0"/>
              <w:marTop w:val="0"/>
              <w:marBottom w:val="0"/>
              <w:divBdr>
                <w:top w:val="none" w:sz="0" w:space="0" w:color="auto"/>
                <w:left w:val="none" w:sz="0" w:space="0" w:color="auto"/>
                <w:bottom w:val="none" w:sz="0" w:space="0" w:color="auto"/>
                <w:right w:val="none" w:sz="0" w:space="0" w:color="auto"/>
              </w:divBdr>
            </w:div>
          </w:divsChild>
        </w:div>
        <w:div w:id="1574122490">
          <w:marLeft w:val="0"/>
          <w:marRight w:val="0"/>
          <w:marTop w:val="0"/>
          <w:marBottom w:val="0"/>
          <w:divBdr>
            <w:top w:val="none" w:sz="0" w:space="0" w:color="auto"/>
            <w:left w:val="none" w:sz="0" w:space="0" w:color="auto"/>
            <w:bottom w:val="none" w:sz="0" w:space="0" w:color="auto"/>
            <w:right w:val="none" w:sz="0" w:space="0" w:color="auto"/>
          </w:divBdr>
          <w:divsChild>
            <w:div w:id="2072534909">
              <w:marLeft w:val="0"/>
              <w:marRight w:val="0"/>
              <w:marTop w:val="0"/>
              <w:marBottom w:val="0"/>
              <w:divBdr>
                <w:top w:val="none" w:sz="0" w:space="0" w:color="auto"/>
                <w:left w:val="none" w:sz="0" w:space="0" w:color="auto"/>
                <w:bottom w:val="none" w:sz="0" w:space="0" w:color="auto"/>
                <w:right w:val="none" w:sz="0" w:space="0" w:color="auto"/>
              </w:divBdr>
            </w:div>
          </w:divsChild>
        </w:div>
        <w:div w:id="1836411121">
          <w:marLeft w:val="0"/>
          <w:marRight w:val="0"/>
          <w:marTop w:val="0"/>
          <w:marBottom w:val="0"/>
          <w:divBdr>
            <w:top w:val="none" w:sz="0" w:space="0" w:color="auto"/>
            <w:left w:val="none" w:sz="0" w:space="0" w:color="auto"/>
            <w:bottom w:val="none" w:sz="0" w:space="0" w:color="auto"/>
            <w:right w:val="none" w:sz="0" w:space="0" w:color="auto"/>
          </w:divBdr>
          <w:divsChild>
            <w:div w:id="634868564">
              <w:marLeft w:val="0"/>
              <w:marRight w:val="0"/>
              <w:marTop w:val="0"/>
              <w:marBottom w:val="0"/>
              <w:divBdr>
                <w:top w:val="none" w:sz="0" w:space="0" w:color="auto"/>
                <w:left w:val="none" w:sz="0" w:space="0" w:color="auto"/>
                <w:bottom w:val="none" w:sz="0" w:space="0" w:color="auto"/>
                <w:right w:val="none" w:sz="0" w:space="0" w:color="auto"/>
              </w:divBdr>
            </w:div>
          </w:divsChild>
        </w:div>
        <w:div w:id="1932541192">
          <w:marLeft w:val="0"/>
          <w:marRight w:val="0"/>
          <w:marTop w:val="0"/>
          <w:marBottom w:val="0"/>
          <w:divBdr>
            <w:top w:val="none" w:sz="0" w:space="0" w:color="auto"/>
            <w:left w:val="none" w:sz="0" w:space="0" w:color="auto"/>
            <w:bottom w:val="none" w:sz="0" w:space="0" w:color="auto"/>
            <w:right w:val="none" w:sz="0" w:space="0" w:color="auto"/>
          </w:divBdr>
          <w:divsChild>
            <w:div w:id="692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4555">
      <w:bodyDiv w:val="1"/>
      <w:marLeft w:val="0"/>
      <w:marRight w:val="0"/>
      <w:marTop w:val="0"/>
      <w:marBottom w:val="0"/>
      <w:divBdr>
        <w:top w:val="none" w:sz="0" w:space="0" w:color="auto"/>
        <w:left w:val="none" w:sz="0" w:space="0" w:color="auto"/>
        <w:bottom w:val="none" w:sz="0" w:space="0" w:color="auto"/>
        <w:right w:val="none" w:sz="0" w:space="0" w:color="auto"/>
      </w:divBdr>
      <w:divsChild>
        <w:div w:id="68189616">
          <w:marLeft w:val="0"/>
          <w:marRight w:val="0"/>
          <w:marTop w:val="0"/>
          <w:marBottom w:val="0"/>
          <w:divBdr>
            <w:top w:val="none" w:sz="0" w:space="0" w:color="auto"/>
            <w:left w:val="none" w:sz="0" w:space="0" w:color="auto"/>
            <w:bottom w:val="none" w:sz="0" w:space="0" w:color="auto"/>
            <w:right w:val="none" w:sz="0" w:space="0" w:color="auto"/>
          </w:divBdr>
          <w:divsChild>
            <w:div w:id="64842983">
              <w:marLeft w:val="0"/>
              <w:marRight w:val="0"/>
              <w:marTop w:val="0"/>
              <w:marBottom w:val="0"/>
              <w:divBdr>
                <w:top w:val="none" w:sz="0" w:space="0" w:color="auto"/>
                <w:left w:val="none" w:sz="0" w:space="0" w:color="auto"/>
                <w:bottom w:val="none" w:sz="0" w:space="0" w:color="auto"/>
                <w:right w:val="none" w:sz="0" w:space="0" w:color="auto"/>
              </w:divBdr>
            </w:div>
          </w:divsChild>
        </w:div>
        <w:div w:id="68309027">
          <w:marLeft w:val="0"/>
          <w:marRight w:val="0"/>
          <w:marTop w:val="0"/>
          <w:marBottom w:val="0"/>
          <w:divBdr>
            <w:top w:val="none" w:sz="0" w:space="0" w:color="auto"/>
            <w:left w:val="none" w:sz="0" w:space="0" w:color="auto"/>
            <w:bottom w:val="none" w:sz="0" w:space="0" w:color="auto"/>
            <w:right w:val="none" w:sz="0" w:space="0" w:color="auto"/>
          </w:divBdr>
          <w:divsChild>
            <w:div w:id="1011685017">
              <w:marLeft w:val="0"/>
              <w:marRight w:val="0"/>
              <w:marTop w:val="0"/>
              <w:marBottom w:val="0"/>
              <w:divBdr>
                <w:top w:val="none" w:sz="0" w:space="0" w:color="auto"/>
                <w:left w:val="none" w:sz="0" w:space="0" w:color="auto"/>
                <w:bottom w:val="none" w:sz="0" w:space="0" w:color="auto"/>
                <w:right w:val="none" w:sz="0" w:space="0" w:color="auto"/>
              </w:divBdr>
            </w:div>
          </w:divsChild>
        </w:div>
        <w:div w:id="202914065">
          <w:marLeft w:val="0"/>
          <w:marRight w:val="0"/>
          <w:marTop w:val="0"/>
          <w:marBottom w:val="0"/>
          <w:divBdr>
            <w:top w:val="none" w:sz="0" w:space="0" w:color="auto"/>
            <w:left w:val="none" w:sz="0" w:space="0" w:color="auto"/>
            <w:bottom w:val="none" w:sz="0" w:space="0" w:color="auto"/>
            <w:right w:val="none" w:sz="0" w:space="0" w:color="auto"/>
          </w:divBdr>
          <w:divsChild>
            <w:div w:id="1680502191">
              <w:marLeft w:val="0"/>
              <w:marRight w:val="0"/>
              <w:marTop w:val="0"/>
              <w:marBottom w:val="0"/>
              <w:divBdr>
                <w:top w:val="none" w:sz="0" w:space="0" w:color="auto"/>
                <w:left w:val="none" w:sz="0" w:space="0" w:color="auto"/>
                <w:bottom w:val="none" w:sz="0" w:space="0" w:color="auto"/>
                <w:right w:val="none" w:sz="0" w:space="0" w:color="auto"/>
              </w:divBdr>
            </w:div>
          </w:divsChild>
        </w:div>
        <w:div w:id="224951048">
          <w:marLeft w:val="0"/>
          <w:marRight w:val="0"/>
          <w:marTop w:val="0"/>
          <w:marBottom w:val="0"/>
          <w:divBdr>
            <w:top w:val="none" w:sz="0" w:space="0" w:color="auto"/>
            <w:left w:val="none" w:sz="0" w:space="0" w:color="auto"/>
            <w:bottom w:val="none" w:sz="0" w:space="0" w:color="auto"/>
            <w:right w:val="none" w:sz="0" w:space="0" w:color="auto"/>
          </w:divBdr>
          <w:divsChild>
            <w:div w:id="1208298729">
              <w:marLeft w:val="0"/>
              <w:marRight w:val="0"/>
              <w:marTop w:val="0"/>
              <w:marBottom w:val="0"/>
              <w:divBdr>
                <w:top w:val="none" w:sz="0" w:space="0" w:color="auto"/>
                <w:left w:val="none" w:sz="0" w:space="0" w:color="auto"/>
                <w:bottom w:val="none" w:sz="0" w:space="0" w:color="auto"/>
                <w:right w:val="none" w:sz="0" w:space="0" w:color="auto"/>
              </w:divBdr>
            </w:div>
          </w:divsChild>
        </w:div>
        <w:div w:id="290287542">
          <w:marLeft w:val="0"/>
          <w:marRight w:val="0"/>
          <w:marTop w:val="0"/>
          <w:marBottom w:val="0"/>
          <w:divBdr>
            <w:top w:val="none" w:sz="0" w:space="0" w:color="auto"/>
            <w:left w:val="none" w:sz="0" w:space="0" w:color="auto"/>
            <w:bottom w:val="none" w:sz="0" w:space="0" w:color="auto"/>
            <w:right w:val="none" w:sz="0" w:space="0" w:color="auto"/>
          </w:divBdr>
          <w:divsChild>
            <w:div w:id="1571962258">
              <w:marLeft w:val="0"/>
              <w:marRight w:val="0"/>
              <w:marTop w:val="0"/>
              <w:marBottom w:val="0"/>
              <w:divBdr>
                <w:top w:val="none" w:sz="0" w:space="0" w:color="auto"/>
                <w:left w:val="none" w:sz="0" w:space="0" w:color="auto"/>
                <w:bottom w:val="none" w:sz="0" w:space="0" w:color="auto"/>
                <w:right w:val="none" w:sz="0" w:space="0" w:color="auto"/>
              </w:divBdr>
            </w:div>
          </w:divsChild>
        </w:div>
        <w:div w:id="295721580">
          <w:marLeft w:val="0"/>
          <w:marRight w:val="0"/>
          <w:marTop w:val="0"/>
          <w:marBottom w:val="0"/>
          <w:divBdr>
            <w:top w:val="none" w:sz="0" w:space="0" w:color="auto"/>
            <w:left w:val="none" w:sz="0" w:space="0" w:color="auto"/>
            <w:bottom w:val="none" w:sz="0" w:space="0" w:color="auto"/>
            <w:right w:val="none" w:sz="0" w:space="0" w:color="auto"/>
          </w:divBdr>
          <w:divsChild>
            <w:div w:id="76680353">
              <w:marLeft w:val="0"/>
              <w:marRight w:val="0"/>
              <w:marTop w:val="0"/>
              <w:marBottom w:val="0"/>
              <w:divBdr>
                <w:top w:val="none" w:sz="0" w:space="0" w:color="auto"/>
                <w:left w:val="none" w:sz="0" w:space="0" w:color="auto"/>
                <w:bottom w:val="none" w:sz="0" w:space="0" w:color="auto"/>
                <w:right w:val="none" w:sz="0" w:space="0" w:color="auto"/>
              </w:divBdr>
            </w:div>
          </w:divsChild>
        </w:div>
        <w:div w:id="343827833">
          <w:marLeft w:val="0"/>
          <w:marRight w:val="0"/>
          <w:marTop w:val="0"/>
          <w:marBottom w:val="0"/>
          <w:divBdr>
            <w:top w:val="none" w:sz="0" w:space="0" w:color="auto"/>
            <w:left w:val="none" w:sz="0" w:space="0" w:color="auto"/>
            <w:bottom w:val="none" w:sz="0" w:space="0" w:color="auto"/>
            <w:right w:val="none" w:sz="0" w:space="0" w:color="auto"/>
          </w:divBdr>
          <w:divsChild>
            <w:div w:id="1481536864">
              <w:marLeft w:val="0"/>
              <w:marRight w:val="0"/>
              <w:marTop w:val="0"/>
              <w:marBottom w:val="0"/>
              <w:divBdr>
                <w:top w:val="none" w:sz="0" w:space="0" w:color="auto"/>
                <w:left w:val="none" w:sz="0" w:space="0" w:color="auto"/>
                <w:bottom w:val="none" w:sz="0" w:space="0" w:color="auto"/>
                <w:right w:val="none" w:sz="0" w:space="0" w:color="auto"/>
              </w:divBdr>
            </w:div>
          </w:divsChild>
        </w:div>
        <w:div w:id="359550203">
          <w:marLeft w:val="0"/>
          <w:marRight w:val="0"/>
          <w:marTop w:val="0"/>
          <w:marBottom w:val="0"/>
          <w:divBdr>
            <w:top w:val="none" w:sz="0" w:space="0" w:color="auto"/>
            <w:left w:val="none" w:sz="0" w:space="0" w:color="auto"/>
            <w:bottom w:val="none" w:sz="0" w:space="0" w:color="auto"/>
            <w:right w:val="none" w:sz="0" w:space="0" w:color="auto"/>
          </w:divBdr>
          <w:divsChild>
            <w:div w:id="861088311">
              <w:marLeft w:val="0"/>
              <w:marRight w:val="0"/>
              <w:marTop w:val="0"/>
              <w:marBottom w:val="0"/>
              <w:divBdr>
                <w:top w:val="none" w:sz="0" w:space="0" w:color="auto"/>
                <w:left w:val="none" w:sz="0" w:space="0" w:color="auto"/>
                <w:bottom w:val="none" w:sz="0" w:space="0" w:color="auto"/>
                <w:right w:val="none" w:sz="0" w:space="0" w:color="auto"/>
              </w:divBdr>
            </w:div>
          </w:divsChild>
        </w:div>
        <w:div w:id="462768822">
          <w:marLeft w:val="0"/>
          <w:marRight w:val="0"/>
          <w:marTop w:val="0"/>
          <w:marBottom w:val="0"/>
          <w:divBdr>
            <w:top w:val="none" w:sz="0" w:space="0" w:color="auto"/>
            <w:left w:val="none" w:sz="0" w:space="0" w:color="auto"/>
            <w:bottom w:val="none" w:sz="0" w:space="0" w:color="auto"/>
            <w:right w:val="none" w:sz="0" w:space="0" w:color="auto"/>
          </w:divBdr>
          <w:divsChild>
            <w:div w:id="434249587">
              <w:marLeft w:val="0"/>
              <w:marRight w:val="0"/>
              <w:marTop w:val="0"/>
              <w:marBottom w:val="0"/>
              <w:divBdr>
                <w:top w:val="none" w:sz="0" w:space="0" w:color="auto"/>
                <w:left w:val="none" w:sz="0" w:space="0" w:color="auto"/>
                <w:bottom w:val="none" w:sz="0" w:space="0" w:color="auto"/>
                <w:right w:val="none" w:sz="0" w:space="0" w:color="auto"/>
              </w:divBdr>
            </w:div>
          </w:divsChild>
        </w:div>
        <w:div w:id="462768877">
          <w:marLeft w:val="0"/>
          <w:marRight w:val="0"/>
          <w:marTop w:val="0"/>
          <w:marBottom w:val="0"/>
          <w:divBdr>
            <w:top w:val="none" w:sz="0" w:space="0" w:color="auto"/>
            <w:left w:val="none" w:sz="0" w:space="0" w:color="auto"/>
            <w:bottom w:val="none" w:sz="0" w:space="0" w:color="auto"/>
            <w:right w:val="none" w:sz="0" w:space="0" w:color="auto"/>
          </w:divBdr>
          <w:divsChild>
            <w:div w:id="1240941647">
              <w:marLeft w:val="0"/>
              <w:marRight w:val="0"/>
              <w:marTop w:val="0"/>
              <w:marBottom w:val="0"/>
              <w:divBdr>
                <w:top w:val="none" w:sz="0" w:space="0" w:color="auto"/>
                <w:left w:val="none" w:sz="0" w:space="0" w:color="auto"/>
                <w:bottom w:val="none" w:sz="0" w:space="0" w:color="auto"/>
                <w:right w:val="none" w:sz="0" w:space="0" w:color="auto"/>
              </w:divBdr>
            </w:div>
          </w:divsChild>
        </w:div>
        <w:div w:id="464544340">
          <w:marLeft w:val="0"/>
          <w:marRight w:val="0"/>
          <w:marTop w:val="0"/>
          <w:marBottom w:val="0"/>
          <w:divBdr>
            <w:top w:val="none" w:sz="0" w:space="0" w:color="auto"/>
            <w:left w:val="none" w:sz="0" w:space="0" w:color="auto"/>
            <w:bottom w:val="none" w:sz="0" w:space="0" w:color="auto"/>
            <w:right w:val="none" w:sz="0" w:space="0" w:color="auto"/>
          </w:divBdr>
          <w:divsChild>
            <w:div w:id="535436988">
              <w:marLeft w:val="0"/>
              <w:marRight w:val="0"/>
              <w:marTop w:val="0"/>
              <w:marBottom w:val="0"/>
              <w:divBdr>
                <w:top w:val="none" w:sz="0" w:space="0" w:color="auto"/>
                <w:left w:val="none" w:sz="0" w:space="0" w:color="auto"/>
                <w:bottom w:val="none" w:sz="0" w:space="0" w:color="auto"/>
                <w:right w:val="none" w:sz="0" w:space="0" w:color="auto"/>
              </w:divBdr>
            </w:div>
          </w:divsChild>
        </w:div>
        <w:div w:id="511383645">
          <w:marLeft w:val="0"/>
          <w:marRight w:val="0"/>
          <w:marTop w:val="0"/>
          <w:marBottom w:val="0"/>
          <w:divBdr>
            <w:top w:val="none" w:sz="0" w:space="0" w:color="auto"/>
            <w:left w:val="none" w:sz="0" w:space="0" w:color="auto"/>
            <w:bottom w:val="none" w:sz="0" w:space="0" w:color="auto"/>
            <w:right w:val="none" w:sz="0" w:space="0" w:color="auto"/>
          </w:divBdr>
          <w:divsChild>
            <w:div w:id="376517266">
              <w:marLeft w:val="0"/>
              <w:marRight w:val="0"/>
              <w:marTop w:val="0"/>
              <w:marBottom w:val="0"/>
              <w:divBdr>
                <w:top w:val="none" w:sz="0" w:space="0" w:color="auto"/>
                <w:left w:val="none" w:sz="0" w:space="0" w:color="auto"/>
                <w:bottom w:val="none" w:sz="0" w:space="0" w:color="auto"/>
                <w:right w:val="none" w:sz="0" w:space="0" w:color="auto"/>
              </w:divBdr>
            </w:div>
          </w:divsChild>
        </w:div>
        <w:div w:id="527252980">
          <w:marLeft w:val="0"/>
          <w:marRight w:val="0"/>
          <w:marTop w:val="0"/>
          <w:marBottom w:val="0"/>
          <w:divBdr>
            <w:top w:val="none" w:sz="0" w:space="0" w:color="auto"/>
            <w:left w:val="none" w:sz="0" w:space="0" w:color="auto"/>
            <w:bottom w:val="none" w:sz="0" w:space="0" w:color="auto"/>
            <w:right w:val="none" w:sz="0" w:space="0" w:color="auto"/>
          </w:divBdr>
          <w:divsChild>
            <w:div w:id="653991859">
              <w:marLeft w:val="0"/>
              <w:marRight w:val="0"/>
              <w:marTop w:val="0"/>
              <w:marBottom w:val="0"/>
              <w:divBdr>
                <w:top w:val="none" w:sz="0" w:space="0" w:color="auto"/>
                <w:left w:val="none" w:sz="0" w:space="0" w:color="auto"/>
                <w:bottom w:val="none" w:sz="0" w:space="0" w:color="auto"/>
                <w:right w:val="none" w:sz="0" w:space="0" w:color="auto"/>
              </w:divBdr>
            </w:div>
          </w:divsChild>
        </w:div>
        <w:div w:id="534122774">
          <w:marLeft w:val="0"/>
          <w:marRight w:val="0"/>
          <w:marTop w:val="0"/>
          <w:marBottom w:val="0"/>
          <w:divBdr>
            <w:top w:val="none" w:sz="0" w:space="0" w:color="auto"/>
            <w:left w:val="none" w:sz="0" w:space="0" w:color="auto"/>
            <w:bottom w:val="none" w:sz="0" w:space="0" w:color="auto"/>
            <w:right w:val="none" w:sz="0" w:space="0" w:color="auto"/>
          </w:divBdr>
          <w:divsChild>
            <w:div w:id="1614938927">
              <w:marLeft w:val="0"/>
              <w:marRight w:val="0"/>
              <w:marTop w:val="0"/>
              <w:marBottom w:val="0"/>
              <w:divBdr>
                <w:top w:val="none" w:sz="0" w:space="0" w:color="auto"/>
                <w:left w:val="none" w:sz="0" w:space="0" w:color="auto"/>
                <w:bottom w:val="none" w:sz="0" w:space="0" w:color="auto"/>
                <w:right w:val="none" w:sz="0" w:space="0" w:color="auto"/>
              </w:divBdr>
            </w:div>
          </w:divsChild>
        </w:div>
        <w:div w:id="562330082">
          <w:marLeft w:val="0"/>
          <w:marRight w:val="0"/>
          <w:marTop w:val="0"/>
          <w:marBottom w:val="0"/>
          <w:divBdr>
            <w:top w:val="none" w:sz="0" w:space="0" w:color="auto"/>
            <w:left w:val="none" w:sz="0" w:space="0" w:color="auto"/>
            <w:bottom w:val="none" w:sz="0" w:space="0" w:color="auto"/>
            <w:right w:val="none" w:sz="0" w:space="0" w:color="auto"/>
          </w:divBdr>
          <w:divsChild>
            <w:div w:id="1304198314">
              <w:marLeft w:val="0"/>
              <w:marRight w:val="0"/>
              <w:marTop w:val="0"/>
              <w:marBottom w:val="0"/>
              <w:divBdr>
                <w:top w:val="none" w:sz="0" w:space="0" w:color="auto"/>
                <w:left w:val="none" w:sz="0" w:space="0" w:color="auto"/>
                <w:bottom w:val="none" w:sz="0" w:space="0" w:color="auto"/>
                <w:right w:val="none" w:sz="0" w:space="0" w:color="auto"/>
              </w:divBdr>
            </w:div>
          </w:divsChild>
        </w:div>
        <w:div w:id="615137673">
          <w:marLeft w:val="0"/>
          <w:marRight w:val="0"/>
          <w:marTop w:val="0"/>
          <w:marBottom w:val="0"/>
          <w:divBdr>
            <w:top w:val="none" w:sz="0" w:space="0" w:color="auto"/>
            <w:left w:val="none" w:sz="0" w:space="0" w:color="auto"/>
            <w:bottom w:val="none" w:sz="0" w:space="0" w:color="auto"/>
            <w:right w:val="none" w:sz="0" w:space="0" w:color="auto"/>
          </w:divBdr>
          <w:divsChild>
            <w:div w:id="374548584">
              <w:marLeft w:val="0"/>
              <w:marRight w:val="0"/>
              <w:marTop w:val="0"/>
              <w:marBottom w:val="0"/>
              <w:divBdr>
                <w:top w:val="none" w:sz="0" w:space="0" w:color="auto"/>
                <w:left w:val="none" w:sz="0" w:space="0" w:color="auto"/>
                <w:bottom w:val="none" w:sz="0" w:space="0" w:color="auto"/>
                <w:right w:val="none" w:sz="0" w:space="0" w:color="auto"/>
              </w:divBdr>
            </w:div>
          </w:divsChild>
        </w:div>
        <w:div w:id="693533053">
          <w:marLeft w:val="0"/>
          <w:marRight w:val="0"/>
          <w:marTop w:val="0"/>
          <w:marBottom w:val="0"/>
          <w:divBdr>
            <w:top w:val="none" w:sz="0" w:space="0" w:color="auto"/>
            <w:left w:val="none" w:sz="0" w:space="0" w:color="auto"/>
            <w:bottom w:val="none" w:sz="0" w:space="0" w:color="auto"/>
            <w:right w:val="none" w:sz="0" w:space="0" w:color="auto"/>
          </w:divBdr>
          <w:divsChild>
            <w:div w:id="1256943301">
              <w:marLeft w:val="0"/>
              <w:marRight w:val="0"/>
              <w:marTop w:val="0"/>
              <w:marBottom w:val="0"/>
              <w:divBdr>
                <w:top w:val="none" w:sz="0" w:space="0" w:color="auto"/>
                <w:left w:val="none" w:sz="0" w:space="0" w:color="auto"/>
                <w:bottom w:val="none" w:sz="0" w:space="0" w:color="auto"/>
                <w:right w:val="none" w:sz="0" w:space="0" w:color="auto"/>
              </w:divBdr>
            </w:div>
          </w:divsChild>
        </w:div>
        <w:div w:id="709113011">
          <w:marLeft w:val="0"/>
          <w:marRight w:val="0"/>
          <w:marTop w:val="0"/>
          <w:marBottom w:val="0"/>
          <w:divBdr>
            <w:top w:val="none" w:sz="0" w:space="0" w:color="auto"/>
            <w:left w:val="none" w:sz="0" w:space="0" w:color="auto"/>
            <w:bottom w:val="none" w:sz="0" w:space="0" w:color="auto"/>
            <w:right w:val="none" w:sz="0" w:space="0" w:color="auto"/>
          </w:divBdr>
          <w:divsChild>
            <w:div w:id="201814">
              <w:marLeft w:val="0"/>
              <w:marRight w:val="0"/>
              <w:marTop w:val="0"/>
              <w:marBottom w:val="0"/>
              <w:divBdr>
                <w:top w:val="none" w:sz="0" w:space="0" w:color="auto"/>
                <w:left w:val="none" w:sz="0" w:space="0" w:color="auto"/>
                <w:bottom w:val="none" w:sz="0" w:space="0" w:color="auto"/>
                <w:right w:val="none" w:sz="0" w:space="0" w:color="auto"/>
              </w:divBdr>
            </w:div>
          </w:divsChild>
        </w:div>
        <w:div w:id="940065594">
          <w:marLeft w:val="0"/>
          <w:marRight w:val="0"/>
          <w:marTop w:val="0"/>
          <w:marBottom w:val="0"/>
          <w:divBdr>
            <w:top w:val="none" w:sz="0" w:space="0" w:color="auto"/>
            <w:left w:val="none" w:sz="0" w:space="0" w:color="auto"/>
            <w:bottom w:val="none" w:sz="0" w:space="0" w:color="auto"/>
            <w:right w:val="none" w:sz="0" w:space="0" w:color="auto"/>
          </w:divBdr>
          <w:divsChild>
            <w:div w:id="1272929745">
              <w:marLeft w:val="0"/>
              <w:marRight w:val="0"/>
              <w:marTop w:val="0"/>
              <w:marBottom w:val="0"/>
              <w:divBdr>
                <w:top w:val="none" w:sz="0" w:space="0" w:color="auto"/>
                <w:left w:val="none" w:sz="0" w:space="0" w:color="auto"/>
                <w:bottom w:val="none" w:sz="0" w:space="0" w:color="auto"/>
                <w:right w:val="none" w:sz="0" w:space="0" w:color="auto"/>
              </w:divBdr>
            </w:div>
          </w:divsChild>
        </w:div>
        <w:div w:id="1002511829">
          <w:marLeft w:val="0"/>
          <w:marRight w:val="0"/>
          <w:marTop w:val="0"/>
          <w:marBottom w:val="0"/>
          <w:divBdr>
            <w:top w:val="none" w:sz="0" w:space="0" w:color="auto"/>
            <w:left w:val="none" w:sz="0" w:space="0" w:color="auto"/>
            <w:bottom w:val="none" w:sz="0" w:space="0" w:color="auto"/>
            <w:right w:val="none" w:sz="0" w:space="0" w:color="auto"/>
          </w:divBdr>
          <w:divsChild>
            <w:div w:id="338119660">
              <w:marLeft w:val="0"/>
              <w:marRight w:val="0"/>
              <w:marTop w:val="0"/>
              <w:marBottom w:val="0"/>
              <w:divBdr>
                <w:top w:val="none" w:sz="0" w:space="0" w:color="auto"/>
                <w:left w:val="none" w:sz="0" w:space="0" w:color="auto"/>
                <w:bottom w:val="none" w:sz="0" w:space="0" w:color="auto"/>
                <w:right w:val="none" w:sz="0" w:space="0" w:color="auto"/>
              </w:divBdr>
            </w:div>
          </w:divsChild>
        </w:div>
        <w:div w:id="1020088754">
          <w:marLeft w:val="0"/>
          <w:marRight w:val="0"/>
          <w:marTop w:val="0"/>
          <w:marBottom w:val="0"/>
          <w:divBdr>
            <w:top w:val="none" w:sz="0" w:space="0" w:color="auto"/>
            <w:left w:val="none" w:sz="0" w:space="0" w:color="auto"/>
            <w:bottom w:val="none" w:sz="0" w:space="0" w:color="auto"/>
            <w:right w:val="none" w:sz="0" w:space="0" w:color="auto"/>
          </w:divBdr>
          <w:divsChild>
            <w:div w:id="1812481047">
              <w:marLeft w:val="0"/>
              <w:marRight w:val="0"/>
              <w:marTop w:val="0"/>
              <w:marBottom w:val="0"/>
              <w:divBdr>
                <w:top w:val="none" w:sz="0" w:space="0" w:color="auto"/>
                <w:left w:val="none" w:sz="0" w:space="0" w:color="auto"/>
                <w:bottom w:val="none" w:sz="0" w:space="0" w:color="auto"/>
                <w:right w:val="none" w:sz="0" w:space="0" w:color="auto"/>
              </w:divBdr>
            </w:div>
          </w:divsChild>
        </w:div>
        <w:div w:id="1024332994">
          <w:marLeft w:val="0"/>
          <w:marRight w:val="0"/>
          <w:marTop w:val="0"/>
          <w:marBottom w:val="0"/>
          <w:divBdr>
            <w:top w:val="none" w:sz="0" w:space="0" w:color="auto"/>
            <w:left w:val="none" w:sz="0" w:space="0" w:color="auto"/>
            <w:bottom w:val="none" w:sz="0" w:space="0" w:color="auto"/>
            <w:right w:val="none" w:sz="0" w:space="0" w:color="auto"/>
          </w:divBdr>
          <w:divsChild>
            <w:div w:id="1702785007">
              <w:marLeft w:val="0"/>
              <w:marRight w:val="0"/>
              <w:marTop w:val="0"/>
              <w:marBottom w:val="0"/>
              <w:divBdr>
                <w:top w:val="none" w:sz="0" w:space="0" w:color="auto"/>
                <w:left w:val="none" w:sz="0" w:space="0" w:color="auto"/>
                <w:bottom w:val="none" w:sz="0" w:space="0" w:color="auto"/>
                <w:right w:val="none" w:sz="0" w:space="0" w:color="auto"/>
              </w:divBdr>
            </w:div>
          </w:divsChild>
        </w:div>
        <w:div w:id="1127551526">
          <w:marLeft w:val="0"/>
          <w:marRight w:val="0"/>
          <w:marTop w:val="0"/>
          <w:marBottom w:val="0"/>
          <w:divBdr>
            <w:top w:val="none" w:sz="0" w:space="0" w:color="auto"/>
            <w:left w:val="none" w:sz="0" w:space="0" w:color="auto"/>
            <w:bottom w:val="none" w:sz="0" w:space="0" w:color="auto"/>
            <w:right w:val="none" w:sz="0" w:space="0" w:color="auto"/>
          </w:divBdr>
          <w:divsChild>
            <w:div w:id="161119870">
              <w:marLeft w:val="0"/>
              <w:marRight w:val="0"/>
              <w:marTop w:val="0"/>
              <w:marBottom w:val="0"/>
              <w:divBdr>
                <w:top w:val="none" w:sz="0" w:space="0" w:color="auto"/>
                <w:left w:val="none" w:sz="0" w:space="0" w:color="auto"/>
                <w:bottom w:val="none" w:sz="0" w:space="0" w:color="auto"/>
                <w:right w:val="none" w:sz="0" w:space="0" w:color="auto"/>
              </w:divBdr>
            </w:div>
          </w:divsChild>
        </w:div>
        <w:div w:id="1199665064">
          <w:marLeft w:val="0"/>
          <w:marRight w:val="0"/>
          <w:marTop w:val="0"/>
          <w:marBottom w:val="0"/>
          <w:divBdr>
            <w:top w:val="none" w:sz="0" w:space="0" w:color="auto"/>
            <w:left w:val="none" w:sz="0" w:space="0" w:color="auto"/>
            <w:bottom w:val="none" w:sz="0" w:space="0" w:color="auto"/>
            <w:right w:val="none" w:sz="0" w:space="0" w:color="auto"/>
          </w:divBdr>
          <w:divsChild>
            <w:div w:id="275217582">
              <w:marLeft w:val="0"/>
              <w:marRight w:val="0"/>
              <w:marTop w:val="0"/>
              <w:marBottom w:val="0"/>
              <w:divBdr>
                <w:top w:val="none" w:sz="0" w:space="0" w:color="auto"/>
                <w:left w:val="none" w:sz="0" w:space="0" w:color="auto"/>
                <w:bottom w:val="none" w:sz="0" w:space="0" w:color="auto"/>
                <w:right w:val="none" w:sz="0" w:space="0" w:color="auto"/>
              </w:divBdr>
            </w:div>
          </w:divsChild>
        </w:div>
        <w:div w:id="1241523104">
          <w:marLeft w:val="0"/>
          <w:marRight w:val="0"/>
          <w:marTop w:val="0"/>
          <w:marBottom w:val="0"/>
          <w:divBdr>
            <w:top w:val="none" w:sz="0" w:space="0" w:color="auto"/>
            <w:left w:val="none" w:sz="0" w:space="0" w:color="auto"/>
            <w:bottom w:val="none" w:sz="0" w:space="0" w:color="auto"/>
            <w:right w:val="none" w:sz="0" w:space="0" w:color="auto"/>
          </w:divBdr>
          <w:divsChild>
            <w:div w:id="1365860324">
              <w:marLeft w:val="0"/>
              <w:marRight w:val="0"/>
              <w:marTop w:val="0"/>
              <w:marBottom w:val="0"/>
              <w:divBdr>
                <w:top w:val="none" w:sz="0" w:space="0" w:color="auto"/>
                <w:left w:val="none" w:sz="0" w:space="0" w:color="auto"/>
                <w:bottom w:val="none" w:sz="0" w:space="0" w:color="auto"/>
                <w:right w:val="none" w:sz="0" w:space="0" w:color="auto"/>
              </w:divBdr>
            </w:div>
          </w:divsChild>
        </w:div>
        <w:div w:id="1271818031">
          <w:marLeft w:val="0"/>
          <w:marRight w:val="0"/>
          <w:marTop w:val="0"/>
          <w:marBottom w:val="0"/>
          <w:divBdr>
            <w:top w:val="none" w:sz="0" w:space="0" w:color="auto"/>
            <w:left w:val="none" w:sz="0" w:space="0" w:color="auto"/>
            <w:bottom w:val="none" w:sz="0" w:space="0" w:color="auto"/>
            <w:right w:val="none" w:sz="0" w:space="0" w:color="auto"/>
          </w:divBdr>
          <w:divsChild>
            <w:div w:id="1669091058">
              <w:marLeft w:val="0"/>
              <w:marRight w:val="0"/>
              <w:marTop w:val="0"/>
              <w:marBottom w:val="0"/>
              <w:divBdr>
                <w:top w:val="none" w:sz="0" w:space="0" w:color="auto"/>
                <w:left w:val="none" w:sz="0" w:space="0" w:color="auto"/>
                <w:bottom w:val="none" w:sz="0" w:space="0" w:color="auto"/>
                <w:right w:val="none" w:sz="0" w:space="0" w:color="auto"/>
              </w:divBdr>
            </w:div>
          </w:divsChild>
        </w:div>
        <w:div w:id="1394893371">
          <w:marLeft w:val="0"/>
          <w:marRight w:val="0"/>
          <w:marTop w:val="0"/>
          <w:marBottom w:val="0"/>
          <w:divBdr>
            <w:top w:val="none" w:sz="0" w:space="0" w:color="auto"/>
            <w:left w:val="none" w:sz="0" w:space="0" w:color="auto"/>
            <w:bottom w:val="none" w:sz="0" w:space="0" w:color="auto"/>
            <w:right w:val="none" w:sz="0" w:space="0" w:color="auto"/>
          </w:divBdr>
          <w:divsChild>
            <w:div w:id="762259067">
              <w:marLeft w:val="0"/>
              <w:marRight w:val="0"/>
              <w:marTop w:val="0"/>
              <w:marBottom w:val="0"/>
              <w:divBdr>
                <w:top w:val="none" w:sz="0" w:space="0" w:color="auto"/>
                <w:left w:val="none" w:sz="0" w:space="0" w:color="auto"/>
                <w:bottom w:val="none" w:sz="0" w:space="0" w:color="auto"/>
                <w:right w:val="none" w:sz="0" w:space="0" w:color="auto"/>
              </w:divBdr>
            </w:div>
          </w:divsChild>
        </w:div>
        <w:div w:id="1400716265">
          <w:marLeft w:val="0"/>
          <w:marRight w:val="0"/>
          <w:marTop w:val="0"/>
          <w:marBottom w:val="0"/>
          <w:divBdr>
            <w:top w:val="none" w:sz="0" w:space="0" w:color="auto"/>
            <w:left w:val="none" w:sz="0" w:space="0" w:color="auto"/>
            <w:bottom w:val="none" w:sz="0" w:space="0" w:color="auto"/>
            <w:right w:val="none" w:sz="0" w:space="0" w:color="auto"/>
          </w:divBdr>
          <w:divsChild>
            <w:div w:id="177042179">
              <w:marLeft w:val="0"/>
              <w:marRight w:val="0"/>
              <w:marTop w:val="0"/>
              <w:marBottom w:val="0"/>
              <w:divBdr>
                <w:top w:val="none" w:sz="0" w:space="0" w:color="auto"/>
                <w:left w:val="none" w:sz="0" w:space="0" w:color="auto"/>
                <w:bottom w:val="none" w:sz="0" w:space="0" w:color="auto"/>
                <w:right w:val="none" w:sz="0" w:space="0" w:color="auto"/>
              </w:divBdr>
            </w:div>
          </w:divsChild>
        </w:div>
        <w:div w:id="1438520575">
          <w:marLeft w:val="0"/>
          <w:marRight w:val="0"/>
          <w:marTop w:val="0"/>
          <w:marBottom w:val="0"/>
          <w:divBdr>
            <w:top w:val="none" w:sz="0" w:space="0" w:color="auto"/>
            <w:left w:val="none" w:sz="0" w:space="0" w:color="auto"/>
            <w:bottom w:val="none" w:sz="0" w:space="0" w:color="auto"/>
            <w:right w:val="none" w:sz="0" w:space="0" w:color="auto"/>
          </w:divBdr>
          <w:divsChild>
            <w:div w:id="1209805335">
              <w:marLeft w:val="0"/>
              <w:marRight w:val="0"/>
              <w:marTop w:val="0"/>
              <w:marBottom w:val="0"/>
              <w:divBdr>
                <w:top w:val="none" w:sz="0" w:space="0" w:color="auto"/>
                <w:left w:val="none" w:sz="0" w:space="0" w:color="auto"/>
                <w:bottom w:val="none" w:sz="0" w:space="0" w:color="auto"/>
                <w:right w:val="none" w:sz="0" w:space="0" w:color="auto"/>
              </w:divBdr>
            </w:div>
          </w:divsChild>
        </w:div>
        <w:div w:id="1478835173">
          <w:marLeft w:val="0"/>
          <w:marRight w:val="0"/>
          <w:marTop w:val="0"/>
          <w:marBottom w:val="0"/>
          <w:divBdr>
            <w:top w:val="none" w:sz="0" w:space="0" w:color="auto"/>
            <w:left w:val="none" w:sz="0" w:space="0" w:color="auto"/>
            <w:bottom w:val="none" w:sz="0" w:space="0" w:color="auto"/>
            <w:right w:val="none" w:sz="0" w:space="0" w:color="auto"/>
          </w:divBdr>
          <w:divsChild>
            <w:div w:id="1847867098">
              <w:marLeft w:val="0"/>
              <w:marRight w:val="0"/>
              <w:marTop w:val="0"/>
              <w:marBottom w:val="0"/>
              <w:divBdr>
                <w:top w:val="none" w:sz="0" w:space="0" w:color="auto"/>
                <w:left w:val="none" w:sz="0" w:space="0" w:color="auto"/>
                <w:bottom w:val="none" w:sz="0" w:space="0" w:color="auto"/>
                <w:right w:val="none" w:sz="0" w:space="0" w:color="auto"/>
              </w:divBdr>
            </w:div>
          </w:divsChild>
        </w:div>
        <w:div w:id="1584415927">
          <w:marLeft w:val="0"/>
          <w:marRight w:val="0"/>
          <w:marTop w:val="0"/>
          <w:marBottom w:val="0"/>
          <w:divBdr>
            <w:top w:val="none" w:sz="0" w:space="0" w:color="auto"/>
            <w:left w:val="none" w:sz="0" w:space="0" w:color="auto"/>
            <w:bottom w:val="none" w:sz="0" w:space="0" w:color="auto"/>
            <w:right w:val="none" w:sz="0" w:space="0" w:color="auto"/>
          </w:divBdr>
          <w:divsChild>
            <w:div w:id="1738939650">
              <w:marLeft w:val="0"/>
              <w:marRight w:val="0"/>
              <w:marTop w:val="0"/>
              <w:marBottom w:val="0"/>
              <w:divBdr>
                <w:top w:val="none" w:sz="0" w:space="0" w:color="auto"/>
                <w:left w:val="none" w:sz="0" w:space="0" w:color="auto"/>
                <w:bottom w:val="none" w:sz="0" w:space="0" w:color="auto"/>
                <w:right w:val="none" w:sz="0" w:space="0" w:color="auto"/>
              </w:divBdr>
            </w:div>
          </w:divsChild>
        </w:div>
        <w:div w:id="1618021508">
          <w:marLeft w:val="0"/>
          <w:marRight w:val="0"/>
          <w:marTop w:val="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
          </w:divsChild>
        </w:div>
        <w:div w:id="1643844526">
          <w:marLeft w:val="0"/>
          <w:marRight w:val="0"/>
          <w:marTop w:val="0"/>
          <w:marBottom w:val="0"/>
          <w:divBdr>
            <w:top w:val="none" w:sz="0" w:space="0" w:color="auto"/>
            <w:left w:val="none" w:sz="0" w:space="0" w:color="auto"/>
            <w:bottom w:val="none" w:sz="0" w:space="0" w:color="auto"/>
            <w:right w:val="none" w:sz="0" w:space="0" w:color="auto"/>
          </w:divBdr>
          <w:divsChild>
            <w:div w:id="984243145">
              <w:marLeft w:val="0"/>
              <w:marRight w:val="0"/>
              <w:marTop w:val="0"/>
              <w:marBottom w:val="0"/>
              <w:divBdr>
                <w:top w:val="none" w:sz="0" w:space="0" w:color="auto"/>
                <w:left w:val="none" w:sz="0" w:space="0" w:color="auto"/>
                <w:bottom w:val="none" w:sz="0" w:space="0" w:color="auto"/>
                <w:right w:val="none" w:sz="0" w:space="0" w:color="auto"/>
              </w:divBdr>
            </w:div>
          </w:divsChild>
        </w:div>
        <w:div w:id="1689527321">
          <w:marLeft w:val="0"/>
          <w:marRight w:val="0"/>
          <w:marTop w:val="0"/>
          <w:marBottom w:val="0"/>
          <w:divBdr>
            <w:top w:val="none" w:sz="0" w:space="0" w:color="auto"/>
            <w:left w:val="none" w:sz="0" w:space="0" w:color="auto"/>
            <w:bottom w:val="none" w:sz="0" w:space="0" w:color="auto"/>
            <w:right w:val="none" w:sz="0" w:space="0" w:color="auto"/>
          </w:divBdr>
          <w:divsChild>
            <w:div w:id="2064476063">
              <w:marLeft w:val="0"/>
              <w:marRight w:val="0"/>
              <w:marTop w:val="0"/>
              <w:marBottom w:val="0"/>
              <w:divBdr>
                <w:top w:val="none" w:sz="0" w:space="0" w:color="auto"/>
                <w:left w:val="none" w:sz="0" w:space="0" w:color="auto"/>
                <w:bottom w:val="none" w:sz="0" w:space="0" w:color="auto"/>
                <w:right w:val="none" w:sz="0" w:space="0" w:color="auto"/>
              </w:divBdr>
            </w:div>
          </w:divsChild>
        </w:div>
        <w:div w:id="1765106925">
          <w:marLeft w:val="0"/>
          <w:marRight w:val="0"/>
          <w:marTop w:val="0"/>
          <w:marBottom w:val="0"/>
          <w:divBdr>
            <w:top w:val="none" w:sz="0" w:space="0" w:color="auto"/>
            <w:left w:val="none" w:sz="0" w:space="0" w:color="auto"/>
            <w:bottom w:val="none" w:sz="0" w:space="0" w:color="auto"/>
            <w:right w:val="none" w:sz="0" w:space="0" w:color="auto"/>
          </w:divBdr>
          <w:divsChild>
            <w:div w:id="131095244">
              <w:marLeft w:val="0"/>
              <w:marRight w:val="0"/>
              <w:marTop w:val="0"/>
              <w:marBottom w:val="0"/>
              <w:divBdr>
                <w:top w:val="none" w:sz="0" w:space="0" w:color="auto"/>
                <w:left w:val="none" w:sz="0" w:space="0" w:color="auto"/>
                <w:bottom w:val="none" w:sz="0" w:space="0" w:color="auto"/>
                <w:right w:val="none" w:sz="0" w:space="0" w:color="auto"/>
              </w:divBdr>
            </w:div>
          </w:divsChild>
        </w:div>
        <w:div w:id="1960258556">
          <w:marLeft w:val="0"/>
          <w:marRight w:val="0"/>
          <w:marTop w:val="0"/>
          <w:marBottom w:val="0"/>
          <w:divBdr>
            <w:top w:val="none" w:sz="0" w:space="0" w:color="auto"/>
            <w:left w:val="none" w:sz="0" w:space="0" w:color="auto"/>
            <w:bottom w:val="none" w:sz="0" w:space="0" w:color="auto"/>
            <w:right w:val="none" w:sz="0" w:space="0" w:color="auto"/>
          </w:divBdr>
          <w:divsChild>
            <w:div w:id="1439913426">
              <w:marLeft w:val="0"/>
              <w:marRight w:val="0"/>
              <w:marTop w:val="0"/>
              <w:marBottom w:val="0"/>
              <w:divBdr>
                <w:top w:val="none" w:sz="0" w:space="0" w:color="auto"/>
                <w:left w:val="none" w:sz="0" w:space="0" w:color="auto"/>
                <w:bottom w:val="none" w:sz="0" w:space="0" w:color="auto"/>
                <w:right w:val="none" w:sz="0" w:space="0" w:color="auto"/>
              </w:divBdr>
            </w:div>
          </w:divsChild>
        </w:div>
        <w:div w:id="1970933107">
          <w:marLeft w:val="0"/>
          <w:marRight w:val="0"/>
          <w:marTop w:val="0"/>
          <w:marBottom w:val="0"/>
          <w:divBdr>
            <w:top w:val="none" w:sz="0" w:space="0" w:color="auto"/>
            <w:left w:val="none" w:sz="0" w:space="0" w:color="auto"/>
            <w:bottom w:val="none" w:sz="0" w:space="0" w:color="auto"/>
            <w:right w:val="none" w:sz="0" w:space="0" w:color="auto"/>
          </w:divBdr>
          <w:divsChild>
            <w:div w:id="1753696227">
              <w:marLeft w:val="0"/>
              <w:marRight w:val="0"/>
              <w:marTop w:val="0"/>
              <w:marBottom w:val="0"/>
              <w:divBdr>
                <w:top w:val="none" w:sz="0" w:space="0" w:color="auto"/>
                <w:left w:val="none" w:sz="0" w:space="0" w:color="auto"/>
                <w:bottom w:val="none" w:sz="0" w:space="0" w:color="auto"/>
                <w:right w:val="none" w:sz="0" w:space="0" w:color="auto"/>
              </w:divBdr>
            </w:div>
          </w:divsChild>
        </w:div>
        <w:div w:id="2136563378">
          <w:marLeft w:val="0"/>
          <w:marRight w:val="0"/>
          <w:marTop w:val="0"/>
          <w:marBottom w:val="0"/>
          <w:divBdr>
            <w:top w:val="none" w:sz="0" w:space="0" w:color="auto"/>
            <w:left w:val="none" w:sz="0" w:space="0" w:color="auto"/>
            <w:bottom w:val="none" w:sz="0" w:space="0" w:color="auto"/>
            <w:right w:val="none" w:sz="0" w:space="0" w:color="auto"/>
          </w:divBdr>
          <w:divsChild>
            <w:div w:id="15043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dd75a2b93d8008d82e52e1c436948b5a">
  <xsd:schema xmlns:xsd="http://www.w3.org/2001/XMLSchema" xmlns:xs="http://www.w3.org/2001/XMLSchema" xmlns:p="http://schemas.microsoft.com/office/2006/metadata/properties" xmlns:ns2="51c27a8c-5fee-469a-bc01-c7a584e9f12f" targetNamespace="http://schemas.microsoft.com/office/2006/metadata/properties" ma:root="true" ma:fieldsID="48c5b781b7a924d5312c065567f936ba"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Props1.xml><?xml version="1.0" encoding="utf-8"?>
<ds:datastoreItem xmlns:ds="http://schemas.openxmlformats.org/officeDocument/2006/customXml" ds:itemID="{22AB1F64-F5F2-4C58-94BA-D7F77454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0FFF3-92B2-4AAF-8719-5E93D6909FC1}">
  <ds:schemaRefs>
    <ds:schemaRef ds:uri="http://schemas.microsoft.com/sharepoint/v3/contenttype/forms"/>
  </ds:schemaRefs>
</ds:datastoreItem>
</file>

<file path=customXml/itemProps3.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customXml/itemProps4.xml><?xml version="1.0" encoding="utf-8"?>
<ds:datastoreItem xmlns:ds="http://schemas.openxmlformats.org/officeDocument/2006/customXml" ds:itemID="{F04DC163-0CA1-4F08-B95E-1DF21154A84C}">
  <ds:schemaRefs>
    <ds:schemaRef ds:uri="http://schemas.microsoft.com/office/2006/metadata/properties"/>
    <ds:schemaRef ds:uri="http://schemas.microsoft.com/office/infopath/2007/PartnerControls"/>
    <ds:schemaRef ds:uri="51c27a8c-5fee-469a-bc01-c7a584e9f1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DEQ Fact Sheet</vt:lpstr>
    </vt:vector>
  </TitlesOfParts>
  <Company/>
  <LinksUpToDate>false</LinksUpToDate>
  <CharactersWithSpaces>5698</CharactersWithSpaces>
  <SharedDoc>false</SharedDoc>
  <HLinks>
    <vt:vector size="6" baseType="variant">
      <vt:variant>
        <vt:i4>6684780</vt:i4>
      </vt:variant>
      <vt:variant>
        <vt:i4>3</vt:i4>
      </vt:variant>
      <vt:variant>
        <vt:i4>0</vt:i4>
      </vt:variant>
      <vt:variant>
        <vt:i4>5</vt:i4>
      </vt:variant>
      <vt:variant>
        <vt:lpwstr>https://deq.mt.gov/Portals/112/Water/WPB/SWP/PDFs/SaniWellCapsVent.pdf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Fact Sheet</dc:title>
  <dc:subject/>
  <dc:creator>Veith, Kamryn</dc:creator>
  <cp:keywords/>
  <dc:description/>
  <cp:lastModifiedBy>Veith, Kamy</cp:lastModifiedBy>
  <cp:revision>2</cp:revision>
  <dcterms:created xsi:type="dcterms:W3CDTF">2025-12-08T16:33:00Z</dcterms:created>
  <dcterms:modified xsi:type="dcterms:W3CDTF">2025-12-08T16:33:00Z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Owner">
    <vt:lpwstr>Policy</vt:lpwstr>
  </property>
  <property fmtid="{D5CDD505-2E9C-101B-9397-08002B2CF9AE}" pid="4" name="Guidance Type">
    <vt:lpwstr>POL – Comms</vt:lpwstr>
  </property>
  <property fmtid="{D5CDD505-2E9C-101B-9397-08002B2CF9AE}" pid="5" name="Guidance Description">
    <vt:lpwstr>Branded fact sheet template for programs to describe their projects externally to stakeholders and the public. Template is digitally accessible.</vt:lpwstr>
  </property>
</Properties>
</file>